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PflGesG — Anordnungen der zuständigen Behörden</w:t>
      </w:r>
    </w:p>
    <w:p>
      <w:r>
        <w:rPr>
          <w:color w:val="555555"/>
          <w:sz w:val="18"/>
        </w:rPr>
        <w:t xml:space="preserve">Pflanzengesundheitsgesetz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Die zuständige Behörde kann zur Bekämpfung von Schadorganismen oder zur Verhütung der Ein- oder Verschleppung sowie zur Bekämpfung der Ansiedlung von Schadorganismen Maßnahmen im Sinne von § 4 Absatz 2 Satz 2 Nummer 1 Buchstabe a bis e und Nummer 2 Buchstabe a bis f dieses Gesetzes und Maßnahmen im Sinne von § 6 Absatz 1 Pflanzenschutzgesetz vom 6. Februar 2012 (BGBl. I S. 148, 1281), das zuletzt durch Artikel 278 der Verordnung vom 19. Juni 2020 (BGBl. I S. 1328) geändert worden ist, anordnen,</w:t>
      </w:r>
    </w:p>
    <w:p>
      <w:pPr>
        <w:ind w:left="420"/>
      </w:pPr>
      <w:r>
        <w:t xml:space="preserve">1. soweit durch Rechtsverordnung nach § 4 Absatz 2 oder nach § 6 Absatz 1 oder 3 des Pflanzenschutzgesetzes oder in Verordnung (EU) 2016/2031, Verordnung (EU) 2017/625 oder in den jeweiligen Durchführungs- oder Delegierten Rechtsakten eine Regelung nicht getroffen ist oder</w:t>
      </w:r>
    </w:p>
    <w:p>
      <w:pPr>
        <w:ind w:left="420"/>
      </w:pPr>
      <w:r>
        <w:t xml:space="preserve">2. soweit keine durch Rechtsverordnung nach § 4 Absatz 2 oder nach § 6 Absatz 1 oder 3 des Pflanzenschutzgesetzes oder in Verordnung (EU) 2016/2031, Verordnung (EU) 2017/625 oder in den jeweiligen Durchführungs- oder Delegierten Rechtsakten getroffene Regelung entgegensteht.</w:t>
      </w:r>
    </w:p>
    <w:p>
      <w:r>
        <w:rPr>
          <w:color w:val="555555"/>
          <w:sz w:val="17"/>
        </w:rPr>
        <w:t xml:space="preserve">Zitiervorschlag: § 5 PflGesG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https://recht.nulegal.eu/gesetze/PflGesG/5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