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PflEV (Brandenburg) — Ordnungswidrigkeiten</w:t>
      </w:r>
    </w:p>
    <w:p>
      <w:r>
        <w:rPr>
          <w:color w:val="555555"/>
          <w:sz w:val="18"/>
        </w:rPr>
        <w:t xml:space="preserve">Pflichtexemplarverordnung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Ordnungswidrig im Sinne des § 15 Abs. 1 Nr. 6 des</w:t>
      </w:r>
    </w:p>
    <w:p>
      <w:r>
        <w:t xml:space="preserve">Brandenburgischen Landespressegesetzes handelt, wer vorsätzlich oder</w:t>
      </w:r>
    </w:p>
    <w:p>
      <w:r>
        <w:t xml:space="preserve">fahrlässig der Anbietungs- oder Ablieferungspflicht nach § 13</w:t>
      </w:r>
    </w:p>
    <w:p>
      <w:r>
        <w:t xml:space="preserve">Brandenburgisches Landespressegesetz nicht rechtzeitig nachkommt.</w:t>
      </w:r>
    </w:p>
    <w:p>
      <w:r>
        <w:rPr>
          <w:color w:val="555555"/>
          <w:sz w:val="17"/>
        </w:rPr>
        <w:t xml:space="preserve">Zitiervorschlag: § 6 PflEV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https://recht.nulegal.eu/gesetze/PflEV/6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