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PflEV (Brandenburg) — Ausstattung der Druckwerke</w:t>
      </w:r>
    </w:p>
    <w:p>
      <w:r>
        <w:rPr>
          <w:color w:val="555555"/>
          <w:sz w:val="18"/>
        </w:rPr>
        <w:t xml:space="preserve">Pflichtexemplarverordnung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Pflichtexemplar muß vollständig und</w:t>
      </w:r>
    </w:p>
    <w:p>
      <w:r>
        <w:t xml:space="preserve">einwandfrei sein.</w:t>
      </w:r>
    </w:p>
    <w:p>
      <w:r>
        <w:t xml:space="preserve">(2) Das Pflichtexemplar ist in der handelsüblichen</w:t>
      </w:r>
    </w:p>
    <w:p>
      <w:r>
        <w:t xml:space="preserve">Einbandart anzubieten, sind mehrere Einbandarten handelsüblich, ist das</w:t>
      </w:r>
    </w:p>
    <w:p>
      <w:r>
        <w:t xml:space="preserve">Pflichtexemplar in der dauerhaften festen Einbandart anzubieten. Erscheint</w:t>
      </w:r>
    </w:p>
    <w:p>
      <w:r>
        <w:t xml:space="preserve">neben einer Papierausgabe auch eine Mikroficheausgabe, so ist die Papierausgabe</w:t>
      </w:r>
    </w:p>
    <w:p>
      <w:r>
        <w:t xml:space="preserve">anzubieten. Weichen die anderen Ausgaben inhaltlich von der Normalausgabe ab,</w:t>
      </w:r>
    </w:p>
    <w:p>
      <w:r>
        <w:t xml:space="preserve">so ist auch hiervon ein Pflichtexemplar anzubieten. Neuauflagen sind</w:t>
      </w:r>
    </w:p>
    <w:p>
      <w:r>
        <w:t xml:space="preserve">anzubieten, sofern sie in Inhalt, Umfang oder Titelfassung einschließlich</w:t>
      </w:r>
    </w:p>
    <w:p>
      <w:r>
        <w:t xml:space="preserve">Jahres- und Verlagsangabe verändert sind.</w:t>
      </w:r>
    </w:p>
    <w:p>
      <w:r>
        <w:rPr>
          <w:color w:val="555555"/>
          <w:sz w:val="17"/>
        </w:rPr>
        <w:t xml:space="preserve">Zitiervorschlag: § 4 PflEV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