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PflEV (Brandenburg) — Ausnahmen von der Anbietungspflicht</w:t>
      </w:r>
    </w:p>
    <w:p>
      <w:r>
        <w:rPr>
          <w:color w:val="555555"/>
          <w:sz w:val="18"/>
        </w:rPr>
        <w:t xml:space="preserve">Pflichtexemplarverordnung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Von den Bestimmungen dieser Verordnung sind die in § 7</w:t>
      </w:r>
    </w:p>
    <w:p>
      <w:r>
        <w:t xml:space="preserve">Abs. 3 des Brandenburgischen Landespressegesetzes genannten Texte ausgenommen.</w:t>
      </w:r>
    </w:p>
    <w:p>
      <w:r>
        <w:t xml:space="preserve">(2) Der Minister für Wissenschaft, Forschung und Kultur</w:t>
      </w:r>
    </w:p>
    <w:p>
      <w:r>
        <w:t xml:space="preserve">kann weitere Gattungen von der Anbietungspflicht ausnehmen, wenn an deren</w:t>
      </w:r>
    </w:p>
    <w:p>
      <w:r>
        <w:t xml:space="preserve">Sammlung und bibliographischer Aufzeichnung kein Interesse besteht. Die</w:t>
      </w:r>
    </w:p>
    <w:p>
      <w:r>
        <w:t xml:space="preserve">Gattungen, die von der Anbietungspflicht ausgenommen werden, werden durch</w:t>
      </w:r>
    </w:p>
    <w:p>
      <w:r>
        <w:t xml:space="preserve">Erlaß festgelegt und im Amtsblatt für Brandenburg</w:t>
      </w:r>
    </w:p>
    <w:p>
      <w:r>
        <w:t xml:space="preserve">veröffentlicht.</w:t>
      </w:r>
    </w:p>
    <w:p>
      <w:r>
        <w:rPr>
          <w:color w:val="555555"/>
          <w:sz w:val="17"/>
        </w:rPr>
        <w:t xml:space="preserve">Zitiervorschlag: § 3 PflEV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