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PflEV (Brandenburg) — Anbietungspflicht</w:t>
      </w:r>
    </w:p>
    <w:p>
      <w:r>
        <w:rPr>
          <w:color w:val="555555"/>
          <w:sz w:val="18"/>
        </w:rPr>
        <w:t xml:space="preserve">Pflichtexemplarverordnung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jedem Druckwerk, das im Land Brandenburg verlegt wird,</w:t>
      </w:r>
    </w:p>
    <w:p>
      <w:r>
        <w:t xml:space="preserve">hat der Verleger mit Beginn der Verbreitung des Druckwerks ein Stück</w:t>
      </w:r>
    </w:p>
    <w:p>
      <w:r>
        <w:t xml:space="preserve">(Pflichtexemplar) frei von Versendungskosten der Stadt- und Landesbibliothek</w:t>
      </w:r>
    </w:p>
    <w:p>
      <w:r>
        <w:t xml:space="preserve">Potsdam zur Ansicht zuzusenden und zum unentgeltlichen Erwerb anzubieten. Satz</w:t>
      </w:r>
    </w:p>
    <w:p>
      <w:r>
        <w:t xml:space="preserve">1 gilt entsprechend für den Drucker, wenn das Druckwerk keinen Verleger</w:t>
      </w:r>
    </w:p>
    <w:p>
      <w:r>
        <w:t xml:space="preserve">hat oder außerhalb des Landes Brandenburg verlegt wird.</w:t>
      </w:r>
    </w:p>
    <w:p>
      <w:r>
        <w:t xml:space="preserve">(2) Bei periodischen Druckwerken hat der Verleger oder Drucker</w:t>
      </w:r>
    </w:p>
    <w:p>
      <w:r>
        <w:t xml:space="preserve">der Stadt- und Landesbibliothek Potsdam mit Beginn der Verbreitung ein</w:t>
      </w:r>
    </w:p>
    <w:p>
      <w:r>
        <w:t xml:space="preserve">Stück der ersten Nummer des Druckwerkes und nach Beginn jedes folgenden</w:t>
      </w:r>
    </w:p>
    <w:p>
      <w:r>
        <w:t xml:space="preserve">Kalenderjahres ein Stück der in diesem Kalenderjahr erscheinenden ersten</w:t>
      </w:r>
    </w:p>
    <w:p>
      <w:r>
        <w:t xml:space="preserve">Nummer frei von Versendungskosten zur Ansicht zuzusenden und das Druckwerk zum</w:t>
      </w:r>
    </w:p>
    <w:p>
      <w:r>
        <w:t xml:space="preserve">laufenden Bezug anzubieten.</w:t>
      </w:r>
    </w:p>
    <w:p>
      <w:r>
        <w:t xml:space="preserve">(3) Die Anbietungspflicht umfaßt sämtliche erkennbar</w:t>
      </w:r>
    </w:p>
    <w:p>
      <w:r>
        <w:t xml:space="preserve">zum Hauptwerk gehörenden Beilagen, auch wenn diese für sich allein</w:t>
      </w:r>
    </w:p>
    <w:p>
      <w:r>
        <w:t xml:space="preserve">nicht der Anbietungspflicht unterliegen, sowie zu Zeitschriften,</w:t>
      </w:r>
    </w:p>
    <w:p>
      <w:r>
        <w:t xml:space="preserve">Lieferungswerken, Loseblattsammlungen und ähnlichen</w:t>
      </w:r>
    </w:p>
    <w:p>
      <w:r>
        <w:t xml:space="preserve">Veröffentlichungen gehörigen Einbanddecken, Sammelordner,</w:t>
      </w:r>
    </w:p>
    <w:p>
      <w:r>
        <w:t xml:space="preserve">Titelblätter, Inhaltsverzeichnisse, Register und andere Materialien, die</w:t>
      </w:r>
    </w:p>
    <w:p>
      <w:r>
        <w:t xml:space="preserve">der Vervollständigung des Hauptwerkes dienen.</w:t>
      </w:r>
    </w:p>
    <w:p>
      <w:r>
        <w:rPr>
          <w:color w:val="555555"/>
          <w:sz w:val="17"/>
        </w:rPr>
        <w:t xml:space="preserve">Zitiervorschlag: § 1 PflEV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