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PflBestSchV — Ordnungswidrigkeiten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Ordnungswidrig im Sinne des § 68 Absatz 1 Nummer 3 des Pflanzenschutzgesetzes handelt, wer vorsätzlich oder fahrlässig</w:t>
      </w:r>
    </w:p>
    <w:p>
      <w:pPr>
        <w:ind w:left="420"/>
      </w:pPr>
      <w:r>
        <w:t xml:space="preserve">1. einer vollziehbaren Anordnung nach § 5 Absatz 1 zuwiderhandelt oder</w:t>
      </w:r>
    </w:p>
    <w:p>
      <w:pPr>
        <w:ind w:left="420"/>
      </w:pPr>
      <w:r>
        <w:t xml:space="preserve">2. entgegen § 6 eine Anzeige nicht, nicht richtig, nicht vollständig oder nicht rechtzeitig erstattet.</w:t>
      </w:r>
    </w:p>
    <w:p>
      <w:r>
        <w:rPr>
          <w:color w:val="555555"/>
          <w:sz w:val="17"/>
        </w:rPr>
        <w:t xml:space="preserve">Zitiervorschlag: § 7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