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PflBestSchV — Versuchszwecke</w:t>
      </w:r>
    </w:p>
    <w:p>
      <w:r>
        <w:rPr>
          <w:color w:val="555555"/>
          <w:sz w:val="18"/>
        </w:rPr>
        <w:t xml:space="preserve">Pflanzenbeständeschutzverordnung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Wer Versuche mit den unter § 2 Nummer 1 aufgeführten besonderen unionsgeregelten Nicht-Quarantäneschadorganismen im Freiland durchführen will, hat dies der zuständigen Behörde vor Aufnahme der Tätigkeit unter Angabe des Schadorganismus und des Versuchsstandortes anzuzeigen.</w:t>
      </w:r>
    </w:p>
    <w:p>
      <w:r>
        <w:rPr>
          <w:color w:val="555555"/>
          <w:sz w:val="17"/>
        </w:rPr>
        <w:t xml:space="preserve">Zitiervorschlag: § 6 PflBestSchV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https://recht.nulegal.eu/gesetze/PflBestSchV/6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