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PflBestSchV — Untersuchungen</w:t>
      </w:r>
    </w:p>
    <w:p>
      <w:r>
        <w:rPr>
          <w:color w:val="555555"/>
          <w:sz w:val="18"/>
        </w:rPr>
        <w:t xml:space="preserve">Pflanzenbeständeschutzverordnung</w:t>
      </w:r>
    </w:p>
    <w:p>
      <w:r>
        <w:rPr>
          <w:color w:val="555555"/>
          <w:sz w:val="18"/>
        </w:rPr>
        <w:t xml:space="preserve">Stand: 19.10.2023 (konsolidierte Textfassung, kein amtliches Inkrafttretensdatum)</w:t>
      </w:r>
    </w:p>
    <w:p>
      <w:r>
        <w:t xml:space="preserve">Die zuständige Behörde kann Wirtspflanzen und Bestände auf die in § 2 Nummer 1 genannten Schadorganismen untersuchen.</w:t>
      </w:r>
    </w:p>
    <w:p>
      <w:r>
        <w:rPr>
          <w:color w:val="555555"/>
          <w:sz w:val="17"/>
        </w:rPr>
        <w:t xml:space="preserve">Zitiervorschlag: § 4 PflBestSchV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https://recht.nulegal.eu/gesetze/PflBestSchV/4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