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PflBestSchV — Festlegung von Gebieten zum Schutz von Beständen zur Erzeugung oder zum Erhalt von Obstanbaumaterial sowie Erwerbsobstbeständen</w:t>
      </w:r>
    </w:p>
    <w:p>
      <w:r>
        <w:rPr>
          <w:color w:val="555555"/>
          <w:sz w:val="18"/>
        </w:rPr>
        <w:t xml:space="preserve">Pflanzenbeständeschutzverordnung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Die zuständige Behörde kann im Umfeld von Beständen zur Erzeugung oder zum Erhalt von Obstanbaumaterial oder Erwerbsobstbeständen ein Gebiet festlegen, innerhalb dessen unter Berücksichtigung</w:t>
      </w:r>
    </w:p>
    <w:p>
      <w:pPr>
        <w:ind w:left="420"/>
      </w:pPr>
      <w:r>
        <w:t xml:space="preserve">1. der regionalen Gegebenheiten,</w:t>
      </w:r>
    </w:p>
    <w:p>
      <w:pPr>
        <w:ind w:left="420"/>
      </w:pPr>
      <w:r>
        <w:t xml:space="preserve">2. von Pflanzen, die zur Erhaltung und nachhaltigen Nutzung pflanzengenetischer Ressourcen bestimmt sind,</w:t>
      </w:r>
    </w:p>
    <w:p>
      <w:pPr>
        <w:ind w:left="420"/>
      </w:pPr>
      <w:r>
        <w:t xml:space="preserve">3. des Typs des Anbaumaterials oder des Erwerbsobstbestandes,</w:t>
      </w:r>
    </w:p>
    <w:p>
      <w:pPr>
        <w:ind w:left="420"/>
      </w:pPr>
      <w:r>
        <w:t xml:space="preserve">4. der Biologie des jeweiligen besonderen unionsgeregelten Nicht-Quarantäneschadorganismus und</w:t>
      </w:r>
    </w:p>
    <w:p>
      <w:pPr>
        <w:ind w:left="420"/>
      </w:pPr>
      <w:r>
        <w:t xml:space="preserve">5. der damit einhergehenden Risiken für die Gesundheit und die Qualität von Pflanzen</w:t>
      </w:r>
    </w:p>
    <w:p>
      <w:r>
        <w:t xml:space="preserve">Maßnahmen nach § 5 Absatz 1 angeordnet werden können.</w:t>
      </w:r>
    </w:p>
    <w:p>
      <w:r>
        <w:rPr>
          <w:color w:val="555555"/>
          <w:sz w:val="17"/>
        </w:rPr>
        <w:t xml:space="preserve">Zitiervorschlag: § 3 PflBestSchV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https://recht.nulegal.eu/gesetze/PflBestSchV/3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