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PflBestSchV — Begriffsbestimmungen</w:t>
      </w:r>
    </w:p>
    <w:p>
      <w:r>
        <w:rPr>
          <w:color w:val="555555"/>
          <w:sz w:val="18"/>
        </w:rPr>
        <w:t xml:space="preserve">Pflanzenbeständeschutzverordnung</w:t>
      </w:r>
    </w:p>
    <w:p>
      <w:r>
        <w:rPr>
          <w:color w:val="555555"/>
          <w:sz w:val="18"/>
        </w:rPr>
        <w:t xml:space="preserve">Stand: 19.10.2023 (konsolidierte Textfassung, kein amtliches Inkrafttretensdatum)</w:t>
      </w:r>
    </w:p>
    <w:p>
      <w:r>
        <w:t xml:space="preserve">Im Sinne dieser Verordnung sind</w:t>
      </w:r>
    </w:p>
    <w:p>
      <w:pPr>
        <w:ind w:left="420"/>
      </w:pPr>
      <w:r>
        <w:t xml:space="preserve">1. besondere unionsgeregelte Nicht-Quarantäneschadorganismen:</w:t>
      </w:r>
    </w:p>
    <w:p>
      <w:pPr>
        <w:ind w:left="780"/>
      </w:pPr>
      <w:r>
        <w:t xml:space="preserve">a) Feuerbrand: die durch den Schadorganismus Erwinia amylovora (Burril) Winslow et al. hervorgerufene Krankheit insbesondere bei Wirtspflanzen folgender Art bzw. Gattungen:</w:t>
      </w:r>
    </w:p>
    <w:p>
      <w:r>
        <w:rPr>
          <w:rFonts w:ascii="Courier New" w:hAnsi="Courier New"/>
          <w:sz w:val="17"/>
        </w:rPr>
        <w:t xml:space="preserve">Amelanchier Medik.    Felsenbirne</w:t>
      </w:r>
    </w:p>
    <w:p>
      <w:r>
        <w:rPr>
          <w:rFonts w:ascii="Courier New" w:hAnsi="Courier New"/>
          <w:sz w:val="17"/>
        </w:rPr>
        <w:t xml:space="preserve">Aronia Medik.    Apfelbeere</w:t>
      </w:r>
    </w:p>
    <w:p>
      <w:r>
        <w:rPr>
          <w:rFonts w:ascii="Courier New" w:hAnsi="Courier New"/>
          <w:sz w:val="17"/>
        </w:rPr>
        <w:t xml:space="preserve">Chaenomeles Lindl.    Zier- oder Scheinquitte</w:t>
      </w:r>
    </w:p>
    <w:p>
      <w:r>
        <w:rPr>
          <w:rFonts w:ascii="Courier New" w:hAnsi="Courier New"/>
          <w:sz w:val="17"/>
        </w:rPr>
        <w:t xml:space="preserve">Cotoneaster Medik.    Zwergmispel</w:t>
      </w:r>
    </w:p>
    <w:p>
      <w:r>
        <w:rPr>
          <w:rFonts w:ascii="Courier New" w:hAnsi="Courier New"/>
          <w:sz w:val="17"/>
        </w:rPr>
        <w:t xml:space="preserve">Crataegus Tourn. ex L.    Weiß- oder Rotdorn</w:t>
      </w:r>
    </w:p>
    <w:p>
      <w:r>
        <w:rPr>
          <w:rFonts w:ascii="Courier New" w:hAnsi="Courier New"/>
          <w:sz w:val="17"/>
        </w:rPr>
        <w:t xml:space="preserve">Cydonia Mill.    Quitte</w:t>
      </w:r>
    </w:p>
    <w:p>
      <w:r>
        <w:rPr>
          <w:rFonts w:ascii="Courier New" w:hAnsi="Courier New"/>
          <w:sz w:val="17"/>
        </w:rPr>
        <w:t xml:space="preserve">Eriobotrya Lindl.    Wollmispel</w:t>
      </w:r>
    </w:p>
    <w:p>
      <w:r>
        <w:rPr>
          <w:rFonts w:ascii="Courier New" w:hAnsi="Courier New"/>
          <w:sz w:val="17"/>
        </w:rPr>
        <w:t xml:space="preserve">Malus Mill.    Apfel</w:t>
      </w:r>
    </w:p>
    <w:p>
      <w:r>
        <w:rPr>
          <w:rFonts w:ascii="Courier New" w:hAnsi="Courier New"/>
          <w:sz w:val="17"/>
        </w:rPr>
        <w:t xml:space="preserve">Mespilus Bosc ex Spach    Mispel</w:t>
      </w:r>
    </w:p>
    <w:p>
      <w:r>
        <w:rPr>
          <w:rFonts w:ascii="Courier New" w:hAnsi="Courier New"/>
          <w:sz w:val="17"/>
        </w:rPr>
        <w:t xml:space="preserve">Photinia davidiana Decne    Glanzmispel</w:t>
      </w:r>
    </w:p>
    <w:p>
      <w:r>
        <w:rPr>
          <w:rFonts w:ascii="Courier New" w:hAnsi="Courier New"/>
          <w:sz w:val="17"/>
        </w:rPr>
        <w:t xml:space="preserve">Pyracantha M. Roem.    Feuerdorn</w:t>
      </w:r>
    </w:p>
    <w:p>
      <w:r>
        <w:rPr>
          <w:rFonts w:ascii="Courier New" w:hAnsi="Courier New"/>
          <w:sz w:val="17"/>
        </w:rPr>
        <w:t xml:space="preserve">Pyrus L.    Birne</w:t>
      </w:r>
    </w:p>
    <w:p>
      <w:r>
        <w:rPr>
          <w:rFonts w:ascii="Courier New" w:hAnsi="Courier New"/>
          <w:sz w:val="17"/>
        </w:rPr>
        <w:t xml:space="preserve">Sorbus L.    Mehlbeere, Eberesche</w:t>
      </w:r>
    </w:p>
    <w:p>
      <w:pPr>
        <w:ind w:left="780"/>
      </w:pPr>
      <w:r>
        <w:t xml:space="preserve">b) Scharka: die durch den Schadorganismus Plum pox virus hervorgerufene Krankheit bei Wirtspflanzen der Gattung Prunus L.;</w:t>
      </w:r>
    </w:p>
    <w:p>
      <w:pPr>
        <w:ind w:left="780"/>
      </w:pPr>
      <w:r>
        <w:t xml:space="preserve">c) Birnenverfall: die durch den Schadorganismus Candidatus Phytoplasma pyri hervorgerufene Krankheit bei Wirtspflanzen der Gattung Pyrus L.;</w:t>
      </w:r>
    </w:p>
    <w:p>
      <w:pPr>
        <w:ind w:left="780"/>
      </w:pPr>
      <w:r>
        <w:t xml:space="preserve">d) Apfeltriebsucht: die durch den Schadorganismus Candidatus Phytoplasma mali hervorgerufene Krankheit bei Wirtspflanzen der Gattung Malus MILL.;</w:t>
      </w:r>
    </w:p>
    <w:p>
      <w:pPr>
        <w:ind w:left="780"/>
      </w:pPr>
      <w:r>
        <w:t xml:space="preserve">e) Europäische Steinobstvergilbung: die durch den Schadorganismus Candidatus Phytoplasma prunorum hervorgerufene Krankheit bei Wirtspflanzen der Gattung Prunus L.;</w:t>
      </w:r>
    </w:p>
    <w:p>
      <w:pPr>
        <w:ind w:left="420"/>
      </w:pPr>
      <w:r>
        <w:t xml:space="preserve">2. Bestände zur Erzeugung oder zum Erhalt von Obstanbaumaterial: Bestände, die zur Erhaltung, Erzeugung von Obstanbaumaterial der Gattungen Cydonia Mill., Malus Mill., Prunus L. oder Pyrus L. im Sinne des § 2 Nummer 1 Buchstabe b in Verbindung mit Anlage 1 Abschnitt C der Anbaumaterialverordnung bestimmt sind;</w:t>
      </w:r>
    </w:p>
    <w:p>
      <w:pPr>
        <w:ind w:left="420"/>
      </w:pPr>
      <w:r>
        <w:t xml:space="preserve">3. Erwerbsobstbestände: Bestände, in welchen sich Pflanzen der Gattungen Cydonia Mill., Malus Mill., Pyrus L. oder Prunus L. zur gewerblichen Obsterzeugung befinden.</w:t>
      </w:r>
    </w:p>
    <w:p>
      <w:r>
        <w:rPr>
          <w:color w:val="555555"/>
          <w:sz w:val="17"/>
        </w:rPr>
        <w:t xml:space="preserve">Zitiervorschlag: § 2 PflBestSchV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https://recht.nulegal.eu/gesetze/PflBestSchV/2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