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PflBestSchV — Anwendungsbereich</w:t>
      </w:r>
    </w:p>
    <w:p>
      <w:r>
        <w:rPr>
          <w:color w:val="555555"/>
          <w:sz w:val="18"/>
        </w:rPr>
        <w:t xml:space="preserve">Pflanzenbeständeschutzverordnung</w:t>
      </w:r>
    </w:p>
    <w:p>
      <w:r>
        <w:rPr>
          <w:color w:val="555555"/>
          <w:sz w:val="18"/>
        </w:rPr>
        <w:t xml:space="preserve">Stand: 19.10.2023 (konsolidierte Textfassung, kein amtliches Inkrafttretensdatum)</w:t>
      </w:r>
    </w:p>
    <w:p>
      <w:r>
        <w:t xml:space="preserve">Diese Verordnung regelt den Schutz von Beständen zur Erzeugung oder zum Erhalt von Obstanbaumaterial sowie von Erwerbsobstbeständen vor besonderen unionsgeregelten Nicht-Quarantäneschadorganismen, die Regelungen in Rechtsakten der Europäischen Union unterliegen (unionsgeregelten Nicht-Quarantäneschadorganismen).</w:t>
      </w:r>
    </w:p>
    <w:p>
      <w:r>
        <w:rPr>
          <w:color w:val="555555"/>
          <w:sz w:val="17"/>
        </w:rPr>
        <w:t xml:space="preserve">Zitiervorschlag: § 1 PflBestSchV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https://recht.nulegal.eu/gesetze/PflBestSchV/1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