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13b PflBeschauV 1989 — Anforderungen</w:t>
      </w:r>
    </w:p>
    <w:p>
      <w:r>
        <w:rPr>
          <w:color w:val="555555"/>
          <w:sz w:val="18"/>
        </w:rPr>
        <w:t xml:space="preserve">Pflanzenbeschauverordnung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Die in Anhang IV Teil A Kapitel II der Richtlinie 2000/29/EG aufgeführten Pflanzen und Pflanzenerzeugnisse dürfen innergemeinschaftlich nur verbracht werden, wenn sie den in dort jeweils aufgeführten Anforderungen entsprechen.</w:t>
      </w:r>
    </w:p>
    <w:p>
      <w:r>
        <w:rPr>
          <w:color w:val="555555"/>
          <w:sz w:val="17"/>
        </w:rPr>
        <w:t xml:space="preserve">Zitiervorschlag: § 13b PflBeschauV 1989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https://recht.nulegal.eu/gesetze/PflBeschauV%201989/13b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13b PflBeschauV 1989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