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PflBeschauV 1989 — Ausfuhruntersuchung</w:t>
      </w:r>
    </w:p>
    <w:p>
      <w:r>
        <w:rPr>
          <w:color w:val="555555"/>
          <w:sz w:val="18"/>
        </w:rPr>
        <w:t xml:space="preserve">Pflanzenbeschauverordnung</w:t>
      </w:r>
    </w:p>
    <w:p>
      <w:r>
        <w:rPr>
          <w:color w:val="555555"/>
          <w:sz w:val="18"/>
        </w:rPr>
        <w:t xml:space="preserve">Historische Fassung: Stand 10.06.2019 bis 19.10.2023. Dies ist nicht die aktuelle Fassung.</w:t>
      </w:r>
    </w:p>
    <w:p>
      <w:r>
        <w:t xml:space="preserve">(1) Die zuständige Behörde untersucht auf Antrag vor der Ausfuhr Pflanzen, Pflanzenerzeugnisse und sonstige Gegenstände einschließlich ihres Verpackungsmaterials und, soweit erforderlich, ihres Beförderungsmittels auf Befall mit Schadorganismen, soweit die pflanzengesundheitlichen Einfuhrvorschriften oder eine Einfuhrgenehmigung eines Drittlandes eine solche Untersuchung vorsehen.</w:t>
      </w:r>
    </w:p>
    <w:p>
      <w:r>
        <w:t xml:space="preserve">(2) Die zuständige Behörde kann eine Untersuchung nach Absatz 1 verweigern, wenn der Antragsteller die zu untersuchenden Pflanzen, Pflanzenerzeugnisse und sonstigen Gegenstände einschließlich ihrer Verpackung nicht so darlegt, dass die Untersuchung ordnungsgemäß vorgenommen werden kann.</w:t>
      </w:r>
    </w:p>
    <w:p>
      <w:r>
        <w:t xml:space="preserve">(3) Die zuständige Behörde stellt nur dann ein Pflanzengesundheitszeugnis aus, wenn in den Untersuchungen nach Absatz 1 kein Befall mit Schadorganismen festgestellt worden ist und die Pflanzen, Pflanzenerzeugnisse und sonstigen Gegenstände einschließlich ihrer Verpackung zum Zeitpunkt der Untersuchung den pflanzengesundheitlichen Einfuhrvorschriften des Drittlandes, in das nach dem Antrag die Ausfuhr erfolgen soll, entsprechen. Für das Zeugnis ist ein vom Bundesministerium für Ernährung und Landwirtschaft im Bundesanzeiger bekannt gemachter und amtlich hergestellter Vordruck zu verwenden, der mindestens die in Anlage 3 genannten Angaben enthalten muss. Für den Dienststempel ist ein einheitlicher Stempel für die Pflanzengesundheitskontrolle nach dem Muster der Anlage 4 zu verwenden. Die Ausstellung eines Pflanzenpasses nach § 13c erfolgt nur, wenn der Antragsteller von der zuständigen Behörde in ein amtliches Verzeichnis aufgenommen worden ist (Registrierung) und die pflanzengesundheitlichen Einfuhrvorschriften des Drittlandes die Verwendung eines Pflanzenpasses vorsehen. § 13n Abs. 2, 3 und 4 gilt für die Registrierung nach Satz 1 entsprechend.</w:t>
      </w:r>
    </w:p>
    <w:p>
      <w:r>
        <w:t xml:space="preserve">(4) Das Pflanzengesundheitszeugnis darf nur zur Begleitung der nach Absatz 1 untersuchten Pflanzen, Pflanzenerzeugnisse und sonstigen Gegenstände verwendet werden; die Verwendung für andere Sendungen ist unzulässig.</w:t>
      </w:r>
    </w:p>
    <w:p>
      <w:r>
        <w:t xml:space="preserve">(5) Nach der Ausstellung des Pflanzengesundheitszeugnisses ist derjenige, der die Ausstellung des Pflanzengesundheitszeugnisses beantragt hat, verpflichtet, die Pflanzen, Pflanzenerzeugnisse oder sonstigen Gegenstände einschließlich ihres Verpackungsmaterials, auf die sich das Pflanzengesundheitszeugnis bezieht, bis zur Ausfuhr so aufzubewahren, dass ein Befall mit Schadorganismen verhindert wird. Die zuständige Behörde kann die Maßnahmen anordnen, die erforderlich sind, um einen Befall der in Satz 1 genannten Pflanzen, Pflanzenerzeugnisse und sonstigen Gegenstände mit Schadorganismen zu verhindern.</w:t>
      </w:r>
    </w:p>
    <w:p>
      <w:r>
        <w:t xml:space="preserve">(6) Die zuständige Behörde kann Befallsgegenstände, für die kein Antrag nach Absatz 1 gestellt worden ist, die für die Ausfuhr in ein Drittland bestimmt sind und für die in diesem Drittland besondere pflanzengesundheitliche Einfuhrvoraussetzungen festgelegt sind, auf die Einhaltung dieser Einfuhrvoraussetzungen untersuchen. Liegen die Voraussetzungen für die Einfuhr in dieses Drittland nicht vor, kann die zuständige Behörde die Ausfuhr in dieses Drittland untersagen, bis ein Antrag nach Absatz 1 gestellt oder die Maßnahmen durchgeführt worden sind, die erforderlich sind, um die Einfuhrvoraussetzungen des Drittlandes zu erfüllen.</w:t>
      </w:r>
    </w:p>
    <w:p>
      <w:r>
        <w:rPr>
          <w:color w:val="555555"/>
          <w:sz w:val="17"/>
        </w:rPr>
        <w:t xml:space="preserve">Zitiervorschlag: § 12 PflBeschauV 1989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https://recht.nulegal.eu/gesetze/PflBeschauV%201989/12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