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PflBeschV — Quarantänestationen und geschlossene Anlagen</w:t>
      </w:r>
    </w:p>
    <w:p>
      <w:r>
        <w:rPr>
          <w:color w:val="555555"/>
          <w:sz w:val="18"/>
        </w:rPr>
        <w:t xml:space="preserve">Pflanzenbeschauverordnung</w:t>
      </w:r>
    </w:p>
    <w:p>
      <w:r>
        <w:rPr>
          <w:color w:val="555555"/>
          <w:sz w:val="18"/>
        </w:rPr>
        <w:t xml:space="preserve">Stand: 19.10.2023 (konsolidierte Textfassung, kein amtliches Inkrafttretensdatum)</w:t>
      </w:r>
    </w:p>
    <w:p>
      <w:r>
        <w:t xml:space="preserve">(1) Die zuständige Behörde kann die Benennung nach Artikel 60 der Verordnung (EU) 2016/2031 widerrufen, wenn eine der Anforderungen nach Artikel 61 oder Artikel 62 der Verordnung (EU) 2016/2031 nachträglich nicht mehr erfüllt wird.</w:t>
      </w:r>
    </w:p>
    <w:p>
      <w:r>
        <w:t xml:space="preserve">(2) Die zuständige Behörde kann an Stelle des Widerrufs bis zur Beseitigung der Widerrufsgründe das Ruhen der Benennung für einen bestimmten Zeitraum anordnen. Im Übrigen bleiben die verwaltungsverfahrensrechtlichen Vorschriften über Rücknahme und Widerruf von Verwaltungsakten unberührt.</w:t>
      </w:r>
    </w:p>
    <w:p>
      <w:r>
        <w:rPr>
          <w:color w:val="555555"/>
          <w:sz w:val="17"/>
        </w:rPr>
        <w:t xml:space="preserve">Zitiervorschlag: § 6 PflBeschV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https://recht.nulegal.eu/gesetze/PflBeschV/6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