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PflBSchiedsVO (Nordrhein-Westfalen) — Entscheidungen der Schiedsstelle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 der Schiedsstelle ist schriftlich zu begründen und den Parteien mit Rechtsmittelbelehrung zuzustellen. Klagen sind gegen die Schiedsstelle zu richten. Der Vorsitz vertritt die Schiedsstelle im verwaltungsgerichtlichen Verfahren.</w:t>
      </w:r>
    </w:p>
    <w:p>
      <w:r>
        <w:t xml:space="preserve">(2) Die Schiedsstelle beschließt auch über die Veröffentlichung von Entscheidungen. Das Nähere kann in der nach § 13 zu erlassenden Geschäftsordnung geregelt werden.</w:t>
      </w:r>
    </w:p>
    <w:p>
      <w:r>
        <w:rPr>
          <w:color w:val="555555"/>
          <w:sz w:val="17"/>
        </w:rPr>
        <w:t xml:space="preserve">Zitiervorschlag: § 9 PflBSchiedsVO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https://recht.nulegal.eu/gesetze/PflBSchiedsVO/9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