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PflBSchiedsVO (Nordrhein-Westfalen) — Einladung, Auskunftspflicht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Vorsitz lädt die Mitglieder der Schiedsstelle und die beteiligten Parteien schriftlich mit einer Frist von mindestens zwei Wochen zu den Sitzungen der Schiedsstelle ein.</w:t>
      </w:r>
    </w:p>
    <w:p>
      <w:r>
        <w:t xml:space="preserve">(2) Auf Verlangen des Vorsitzes haben die Parteien die für die Vorbereitung und Entscheidung erforderlichen Auskünfte zu erteilen und die notwendigen Unterlagen vorzulegen.</w:t>
      </w:r>
    </w:p>
    <w:p>
      <w:r>
        <w:rPr>
          <w:color w:val="555555"/>
          <w:sz w:val="17"/>
        </w:rPr>
        <w:t xml:space="preserve">Zitiervorschlag: § 6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