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PflBSchV (Brandenburg) — Abberufung und Amtsniederlegung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beteiligten Organisationen nach § 2 Absatz 3 Nummer 1 bis 6 können gemeinsam das vorsitzende Mitglied aus wichtigem Grund abberufen. Kommt eine Einigung nicht zustande, kann jede beteiligte Organisation bei der zuständigen Behörde nach § 14 die Abberufung des vorsitzenden Mitgliedes beantragen. Bis zur Bestellung eines neuen vorsitzenden Mitgliedes führt die Stellvertretung die Geschäfte. Die Sätze 1 und 2 gelten für die Stellvertretung entsprechend.</w:t>
      </w:r>
    </w:p>
    <w:p>
      <w:r>
        <w:t xml:space="preserve">(2) Legt das vorsitzende Mitglied sein Amt nieder, übernimmt die Stellvertretung ohne Neubestellung die Geschäfte bis zum Ende der Amtsperiode.</w:t>
      </w:r>
    </w:p>
    <w:p>
      <w:r>
        <w:t xml:space="preserve">(3) Die übrigen Mitglieder der Schiedsstelle nach § 36 des Pflegeberufegesetzes und deren Stellvertretung können von den Organisationen nach § 2 Absatz 3 Nummer 1 bis 6 abberufen werden, von denen sie bestellt wurden. Wurde die betroffene Person von der zuständigen Behörde nach § 2 Absatz 4 bestellt, so wird die Abberufung erst mit der Bestellung der Nachfolgerin oder des Nachfolgers wirksam.</w:t>
      </w:r>
    </w:p>
    <w:p>
      <w:r>
        <w:t xml:space="preserve">(4) Die übrigen Mitglieder der Schiedsstelle nach § 36 des Pflegeberufegesetzes und ihre Stellvertretung können durch schriftliche oder elektronische Erklärung gegenüber der Geschäftsstelle ihr Amt niederlegen.</w:t>
      </w:r>
    </w:p>
    <w:p>
      <w:r>
        <w:t xml:space="preserve">(5) Die Geschäftsstelle unterrichtet die beteiligten Organisationen gemäß § 2 Absatz 3 Nummer 1 bis 6, die Mitglieder und deren Stellvertretung sowie die zuständige Behörde nach § 14 schriftlich oder elektronisch von der Abberufung oder der Niederlegung des Amtes.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PflBSchV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