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PflBSchV (Brandenburg) — Kostendeckung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Kosten der Schiedsstelle nach § 36 des Pflegeberufegesetzes gemäß § 11 Absatz 1 bis 3 sowie die Kosten der Geschäftsstelle sollen vorrangig durch die Gebühren nach § 12 gedeckt werden.</w:t>
      </w:r>
    </w:p>
    <w:p>
      <w:r>
        <w:t xml:space="preserve">(2) Die Deckung der Kosten nach Absatz 1, die nach Abzug der Gebühren nach § 12 verbleiben, bestimmt sich nach § 36 Absatz 5 Satz 2 des Pflegeberufegesetzes. Der Geschäftsstelle obliegt das Abrechnungswesen mit den beteiligten Organisationen nach § 2 Absatz 3 Nummer 1 bis 6.</w:t>
      </w:r>
    </w:p>
    <w:p>
      <w:r>
        <w:t xml:space="preserve">(3) Die Geschäftsstelle legt der Schiedsstelle nach § 36 des Pflegeberufegesetzes und nachrichtlich der zuständigen Behörde nach § 14 bis zum 31. März eines jeden Jahres eine Aufstellung über die Einnahmen und Ausgaben des Vorjahres vor.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