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PflBO (Sachsen) — Ziele</w:t>
      </w:r>
    </w:p>
    <w:p>
      <w:r>
        <w:rPr>
          <w:color w:val="555555"/>
          <w:sz w:val="18"/>
        </w:rPr>
        <w:t xml:space="preserve">Berufsordnung Pflegefachkräfte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 Festlegung von Berufspflichten der Pflegefachkräfte soll die Qualität der pflegerischen Tätigkeit im Interesse der Gesundheit der Bevölkerung gesichert und berufsunwürdiges Verhalten verhindert werden.</w:t>
      </w:r>
    </w:p>
    <w:p>
      <w:r>
        <w:rPr>
          <w:color w:val="555555"/>
          <w:sz w:val="17"/>
        </w:rPr>
        <w:t xml:space="preserve">Zitiervorschlag: § 2 PflBO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