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PflBO (Sachsen) — Inkrafttreten</w:t>
      </w:r>
    </w:p>
    <w:p>
      <w:r>
        <w:rPr>
          <w:color w:val="555555"/>
          <w:sz w:val="18"/>
        </w:rPr>
        <w:t xml:space="preserve">Berufsordnung Pflegefachkräfte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30. November 2012</w:t>
      </w:r>
    </w:p>
    <w:p>
      <w:r>
        <w:t xml:space="preserve">Die Staatsministerin für Soziales und Verbraucherschutz</w:t>
      </w:r>
    </w:p>
    <w:p>
      <w:r>
        <w:t xml:space="preserve">Christine Clauß</w:t>
      </w:r>
    </w:p>
    <w:p>
      <w:r>
        <w:rPr>
          <w:color w:val="555555"/>
          <w:sz w:val="17"/>
        </w:rPr>
        <w:t xml:space="preserve">Zitiervorschlag: § 11 PflBO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https://recht.nulegal.eu/gesetze/PflBO/11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