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PflBGZÜV (Brandenburg) — Übertragung weiterer Ermächtigungen</w:t>
      </w:r>
    </w:p>
    <w:p>
      <w:r>
        <w:rPr>
          <w:color w:val="555555"/>
          <w:sz w:val="18"/>
        </w:rPr>
        <w:t xml:space="preserve">Pflegeberufezuständigkeitsübertragungsverordnung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36 Absatz 2 Satz 1 des Gesetzes über Ordnungswidrigkeiten und § 6 Absatz 2 des Landesorganisationsgesetzes in Verbindung mit § 26 Absatz 6 Satz 1 und 2 und § 49 des Pflegeberufegesetzes enthaltenen Ermächtigungen zum Erlass von Rechtsverordnungen wird auf das für Soziales und Gesundheit zuständige Mitglied der Landesregierung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PflBGZÜV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https://recht.nulegal.eu/gesetze/PflBGZ%C3%9CV/2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