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PflBG — Mindestanforderungen an Pflegeschulen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Pflegeschulen müssen folgende Mindestanforderungen erfüllen:</w:t>
      </w:r>
    </w:p>
    <w:p>
      <w:pPr>
        <w:ind w:left="420"/>
      </w:pPr>
      <w:r>
        <w:t xml:space="preserve">1. hauptberufliche Leitung der Schule durch eine pädagogisch qualifizierte Person mit einer abgeschlossenen Hochschulausbildung auf Master- oder vergleichbarem Niveau,</w:t>
      </w:r>
    </w:p>
    <w:p>
      <w:pPr>
        <w:ind w:left="420"/>
      </w:pPr>
      <w:r>
        <w:t xml:space="preserve">2. Nachweis einer im Verhältnis zur Zahl der Ausbildungsplätze angemessenen Zahl fachlich und pädagogisch qualifizierter Lehrkräfte mit entsprechender, insbesondere pflegepädagogischer, abgeschlossener Hochschulausbildung auf Master- oder vergleichbarem Niveau für die Durchführung des theoretischen Unterrichts sowie mit entsprechender, insbesondere pflegepädagogischer, abgeschlossener Hochschulausbildung für die Durchführung des praktischen Unterrichts,</w:t>
      </w:r>
    </w:p>
    <w:p>
      <w:pPr>
        <w:ind w:left="420"/>
      </w:pPr>
      <w:r>
        <w:t xml:space="preserve">3. Vorhandensein der für die Ausbildung erforderlichen Räume und Einrichtungen sowie ausreichender Lehr- und Lernmittel, die den Auszubildenden kostenlos zur Verfügung zu stellen sind.</w:t>
      </w:r>
    </w:p>
    <w:p>
      <w:r>
        <w:t xml:space="preserve">(2) Das Verhältnis nach Absatz 1 Nummer 2 soll für die hauptberuflichen Lehrkräfte mindestens einer Vollzeitstelle auf 20 Ausbildungsplätze entsprechen. Eine geringere Anzahl von hauptberuflichen Lehrkräften ist nur vorübergehend zulässig.</w:t>
      </w:r>
    </w:p>
    <w:p>
      <w:r>
        <w:t xml:space="preserve">(3) Die Länder können durch Landesrecht das Nähere zu den Mindestanforderungen nach den Absätzen 1 und 2 bestimmen und weitere, auch darüber hinausgehende Anforderungen festlegen. Sie können für die Lehrkräfte für die Durchführung des theoretischen Unterrichts nach Absatz 1 Nummer 2 befristet bis zum 31. Dezember 2035 regeln, inwieweit die erforderliche Hochschulausbildung nicht oder nur für einen Teil der Lehrkräfte auf Master- oder vergleichbarem Niveau vorliegen muss.</w:t>
      </w:r>
    </w:p>
    <w:p>
      <w:r>
        <w:rPr>
          <w:color w:val="555555"/>
          <w:sz w:val="17"/>
        </w:rPr>
        <w:t xml:space="preserve">Zitiervorschlag: § 9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