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66e PflBG — Übergangsvorschrift für Personen, die bereits über eine Erlaubnis zum Führen der Berufsbezeichnung nach § 1 Satz 2 verfügen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13.01.2026 (konsolidierte Textfassung, kein amtliches Inkrafttretensdatum)</w:t>
      </w:r>
    </w:p>
    <w:p>
      <w:r>
        <w:t xml:space="preserve">Personen, die bereits über eine Erlaubnis zum Führen der Berufsbezeichnung nach § 1 Satz 2 verfügen, können die Kompetenzen nach § 37 Absatz 2 Satz 2 ebenfalls erwerben. Für den gesonderten Erwerb der Kompetenzen nach § 37 Absatz 2 Satz 2 finden die Vorschriften von Teil 3 dieses Gesetzes in der geltenden Fassung entsprechende Anwendung. Die gesondert erworbenen Kompetenzen werden zum Ende des Studienangebots staatlich geprüft.</w:t>
      </w:r>
    </w:p>
    <w:p>
      <w:r>
        <w:rPr>
          <w:color w:val="555555"/>
          <w:sz w:val="17"/>
        </w:rPr>
        <w:t xml:space="preserve">Zitiervorschlag: § 66e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https://recht.nulegal.eu/gesetze/PflBG/66e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