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PflBG — Führen der Berufsbezeichnungen in der Gesundheits- und Kinderkrankenpflege sowie in der Altenpflege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(1) Wer die Berufsbezeichnung „Gesundheits- und Kinderkrankenpflegerin“ oder „Gesundheits- und Kinderkrankenpfleger“ führen will, bedarf der Erlaubnis.</w:t>
      </w:r>
    </w:p>
    <w:p>
      <w:r>
        <w:t xml:space="preserve">(2) Wer die Berufsbezeichnung „Altenpflegerin“ oder „Altenpfleger“ führen will, bedarf der Erlaubnis.</w:t>
      </w:r>
    </w:p>
    <w:p>
      <w:r>
        <w:t xml:space="preserve">(3) Die §§ 2 bis 4a sind entsprechend anzuwenden.</w:t>
      </w:r>
    </w:p>
    <w:p>
      <w:r>
        <w:rPr>
          <w:color w:val="555555"/>
          <w:sz w:val="17"/>
        </w:rPr>
        <w:t xml:space="preserve">Zitiervorschlag: § 58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PflBG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