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PflBG — Bußgeldvorschriften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1, § 58 Absatz 1 oder Absatz 2 eine dort genannte Berufsbezeichnung führt,</w:t>
      </w:r>
    </w:p>
    <w:p>
      <w:pPr>
        <w:ind w:left="420"/>
      </w:pPr>
      <w:r>
        <w:t xml:space="preserve">2. entgegen § 4 Absatz 1, auch in Verbindung mit § 58 Absatz 3, als selbstständig erwerbstätige Person eine dort genannte Aufgabe durchführt,</w:t>
      </w:r>
    </w:p>
    <w:p>
      <w:pPr>
        <w:ind w:left="420"/>
      </w:pPr>
      <w:r>
        <w:t xml:space="preserve">3. entgegen § 4 Absatz 3, auch in Verbindung mit § 58 Absatz 3, einer dort genannten Person eine dort genannte Aufgabe zur Durchführung gegenüber Dritten überträgt oder die Durchführung der Aufgabe durch diese Person gegenüber Dritten duldet.</w:t>
      </w:r>
    </w:p>
    <w:p>
      <w:r>
        <w:t xml:space="preserve">(2) Die Ordnungswidrigkeit kann in den Fällen des Absatzes 1 Nummer 2 und 3 mit einer Geldbuße bis zu zehntausend Euro, in den übrigen Fällen mit einer Geldbuße bis zu dreitausend Euro geahndet werden.</w:t>
      </w:r>
    </w:p>
    <w:p>
      <w:r>
        <w:rPr>
          <w:color w:val="555555"/>
          <w:sz w:val="17"/>
        </w:rPr>
        <w:t xml:space="preserve">Zitiervorschlag: § 57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