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PflBG — Vorwarnmechanismus</w:t>
      </w:r>
    </w:p>
    <w:p>
      <w:r>
        <w:rPr>
          <w:color w:val="555555"/>
          <w:sz w:val="18"/>
        </w:rPr>
        <w:t xml:space="preserve">Pflegeberufegesetz</w:t>
      </w:r>
    </w:p>
    <w:p>
      <w:r>
        <w:rPr>
          <w:color w:val="555555"/>
          <w:sz w:val="18"/>
        </w:rPr>
        <w:t xml:space="preserve">Stand: 19.12.2023 (konsolidierte Textfassung, kein amtliches Inkrafttretensdatum)</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oder die Rücknahme der Erlaubnis nach § 1 oder § 58 Absatz 1 oder Absatz 2, die sofort vollziehbar oder unanfechtbar sind,</w:t>
      </w:r>
    </w:p>
    <w:p>
      <w:pPr>
        <w:ind w:left="420"/>
      </w:pPr>
      <w:r>
        <w:t xml:space="preserve">2. den Verzicht auf die Erlaubnis,</w:t>
      </w:r>
    </w:p>
    <w:p>
      <w:pPr>
        <w:ind w:left="420"/>
      </w:pPr>
      <w:r>
        <w:t xml:space="preserve">3. das Verbot der Ausübung des Berufs der Pflegefachfrau oder des Pflegefachmanns, der Gesundheits- und Kinderkrankenpflegerin oder des Gesundheits- und Kinderkrankenpflegers oder der Altenpflegerin oder des Altenpflegers durch unanfechtbare gerichtliche Entscheidung oder</w:t>
      </w:r>
    </w:p>
    <w:p>
      <w:pPr>
        <w:ind w:left="420"/>
      </w:pPr>
      <w:r>
        <w:t xml:space="preserve">4.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oder Nummer 3, nach Bekanntgabe einer Entscheidung nach Absatz 1 Nummer 4 oder nach einem Verzicht nach Absatz 1 Nummer 2.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Erlaubnis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51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