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PflBG — Eigenverantwortliche Heilkundeausübung</w:t>
      </w:r>
    </w:p>
    <w:p>
      <w:r>
        <w:rPr>
          <w:color w:val="555555"/>
          <w:sz w:val="18"/>
        </w:rPr>
        <w:t xml:space="preserve">Pflegeberufegesetz</w:t>
      </w:r>
    </w:p>
    <w:p>
      <w:r>
        <w:rPr>
          <w:color w:val="555555"/>
          <w:sz w:val="18"/>
        </w:rPr>
        <w:t xml:space="preserve">Stand: 13.01.2026 (konsolidierte Textfassung, kein amtliches Inkrafttretensdatum)</w:t>
      </w:r>
    </w:p>
    <w:p>
      <w:r>
        <w:t xml:space="preserve">Personen mit einer Erlaubnis nach § 1 sind zur eigenverantwortlichen Heilkundeausübung im Rahmen der dazu erworbenen staatlich geprüften, staatlich anerkannten oder staatlich festgestellten Kompetenzen befugt.</w:t>
      </w:r>
    </w:p>
    <w:p>
      <w:r>
        <w:rPr>
          <w:color w:val="555555"/>
          <w:sz w:val="17"/>
        </w:rPr>
        <w:t xml:space="preserve">Zitiervorschlag: § 4a PflBG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https://recht.nulegal.eu/gesetze/PflBG/4a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