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48 PflBG — Verwaltungszusammenarbeit bei Dienstleistungserbringung</w:t>
      </w:r>
    </w:p>
    <w:p>
      <w:r>
        <w:rPr>
          <w:color w:val="555555"/>
          <w:sz w:val="18"/>
        </w:rPr>
        <w:t xml:space="preserve">Pflegeberufegesetz</w:t>
      </w:r>
    </w:p>
    <w:p>
      <w:r>
        <w:rPr>
          <w:color w:val="555555"/>
          <w:sz w:val="18"/>
        </w:rPr>
        <w:t xml:space="preserve">Stand: 19.12.2023 (konsolidierte Textfassung, kein amtliches Inkrafttretensdatum)</w:t>
      </w:r>
    </w:p>
    <w:p>
      <w:r>
        <w:t xml:space="preserve">(1) Wird gegen die Pflichten nach § 45 verstoßen, so hat die zuständige Behörde unverzüglich die zuständige Behörde des Niederlassungsmitgliedstaates dieser dienstleistungserbringenden Person hierüber zu unterrichten.</w:t>
      </w:r>
    </w:p>
    <w:p>
      <w:r>
        <w:t xml:space="preserve">(2) Im Falle von berechtigten Zweifeln sind die zuständigen Behörden berechtigt, für jede Dienstleistungserbringung von den zuständigen Behörden des Niederlassungsmitgliedstaates Informationen über die Rechtmäßigkeit der Niederlassung sowie darüber anzufordern, ob berufsbezogene disziplinarische oder strafrechtliche Sanktionen vorliegen.</w:t>
      </w:r>
    </w:p>
    <w:p>
      <w:r>
        <w:t xml:space="preserve">(3) Auf Anforderung der zuständigen Behörden eines Mitgliedstaates der Europäischen Union oder eines Vertragsstaates des Abkommens über den Europäischen Wirtschaftsraum oder der Schweiz haben die zuständigen Behörden in Deutschland nach Artikel 56 der Richtlinie 2005/36/EG der anfordernden Behörde Folgendes zu übermitteln:</w:t>
      </w:r>
    </w:p>
    <w:p>
      <w:pPr>
        <w:ind w:left="420"/>
      </w:pPr>
      <w:r>
        <w:t xml:space="preserve">1. alle Informationen über die Rechtmäßigkeit der Niederlassung und die gute Führung der dienstleistungserbringenden Person sowie</w:t>
      </w:r>
    </w:p>
    <w:p>
      <w:pPr>
        <w:ind w:left="420"/>
      </w:pPr>
      <w:r>
        <w:t xml:space="preserve">2. Informationen darüber, dass keine berufsbezogenen disziplinarischen oder strafrechtlichen Sanktionen vorliegen.</w:t>
      </w:r>
    </w:p>
    <w:p>
      <w:r>
        <w:rPr>
          <w:color w:val="555555"/>
          <w:sz w:val="17"/>
        </w:rPr>
        <w:t xml:space="preserve">Zitiervorschlag: § 48 PflBG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https://recht.nulegal.eu/gesetze/PflBG/48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