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PflBG — Bescheinigungen der zuständigen Behörde</w:t>
      </w:r>
    </w:p>
    <w:p>
      <w:r>
        <w:rPr>
          <w:color w:val="555555"/>
          <w:sz w:val="18"/>
        </w:rPr>
        <w:t xml:space="preserve">Pflegeberufegesetz</w:t>
      </w:r>
    </w:p>
    <w:p>
      <w:r>
        <w:rPr>
          <w:color w:val="555555"/>
          <w:sz w:val="18"/>
        </w:rPr>
        <w:t xml:space="preserve">Stand: 19.12.2023 (konsolidierte Textfassung, kein amtliches Inkrafttretensdatum)</w:t>
      </w:r>
    </w:p>
    <w:p>
      <w:r>
        <w:t xml:space="preserve">Einer oder einem Staatsangehörigen eines Mitgliedstaates der Europäischen Union oder eines Vertragsstaates des Abkommens über den Europäischen Wirtschaftsraum oder der Schweiz, die oder der im Geltungsbereich dieses Gesetzes den Beruf der Pflegefachfrau oder des Pflegefachmanns, der Gesundheits- und Kinderkrankenpflegerin oder des Gesundheits- und Kinderkrankenpflegers oder der Altenpflegerin oder des Altenpflegers auf Grund einer Erlaubnis nach § 1 oder § 58 Absatz 1 oder Absatz 2 ausübt, ist auf Antrag für Zwecke der Dienstleistungserbringung in einem anderen Mitgliedstaat der Europäischen Union oder einem anderen Vertragsstaat des Abkommens über den Europäischen Wirtschaftsraum oder der Schweiz eine Bescheinigung darüber auszustellen, dass sie oder er</w:t>
      </w:r>
    </w:p>
    <w:p>
      <w:pPr>
        <w:ind w:left="420"/>
      </w:pPr>
      <w:r>
        <w:t xml:space="preserve">1. als Pflegefachfrau oder Pflegefachmann, als Gesundheits- und Kinderkrankenpflegerin oder Gesundheits- und Kinderkrankenpfleger oder als Altenpflegerin oder Altenpfleger rechtmäßig niedergelassen ist und ihr oder ihm die Ausübung des Berufs nicht, auch nicht vorübergehend, untersagt ist,</w:t>
      </w:r>
    </w:p>
    <w:p>
      <w:pPr>
        <w:ind w:left="420"/>
      </w:pPr>
      <w:r>
        <w:t xml:space="preserve">2. über die zur Ausübung der jeweiligen Tätigkeit erforderliche berufliche Qualifikation verfügt.</w:t>
      </w:r>
    </w:p>
    <w:p>
      <w:r>
        <w:t xml:space="preserve">Gleiches gilt für Drittstaaten und Drittstaatsangehörige, soweit sich hinsichtlich der Anerkennung von Ausbildungsnachweisen nach dem Recht der Europäischen Union eine Gleichstellung ergibt.</w:t>
      </w:r>
    </w:p>
    <w:p>
      <w:r>
        <w:rPr>
          <w:color w:val="555555"/>
          <w:sz w:val="17"/>
        </w:rPr>
        <w:t xml:space="preserve">Zitiervorschlag: § 47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