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PflBG — Feststellungsbescheid</w:t>
      </w:r>
    </w:p>
    <w:p>
      <w:r>
        <w:rPr>
          <w:color w:val="555555"/>
          <w:sz w:val="18"/>
        </w:rPr>
        <w:t xml:space="preserve">Pflegeberufegesetz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Wird die Voraussetzung nach § 2 Nummer 1 auf eine Ausbildung gestützt, die außerhalb des Geltungsbereichs dieses Gesetzes abgeschlossen worden ist, soll die Gleichwertigkeit der Berufsqualifikation nach den Regelungen dieses Abschnitts vor den Voraussetzungen nach § 2 Nummer 2 bis 4 geprüft werden. Auf Antrag ist der antragstellenden Person ein gesonderter Bescheid über die Feststellung ihrer Berufsqualifikation zu erteilen.</w:t>
      </w:r>
    </w:p>
    <w:p>
      <w:r>
        <w:rPr>
          <w:color w:val="555555"/>
          <w:sz w:val="17"/>
        </w:rPr>
        <w:t xml:space="preserve">Zitiervorschlag: § 43 PflBG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https://recht.nulegal.eu/gesetze/PflBG/43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