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PflBG — Gleichwertigkeit und Anerkennung von Ausbildungen</w:t>
      </w:r>
    </w:p>
    <w:p>
      <w:r>
        <w:rPr>
          <w:color w:val="555555"/>
          <w:sz w:val="18"/>
        </w:rPr>
        <w:t xml:space="preserve">Pflegeberufegesetz</w:t>
      </w:r>
    </w:p>
    <w:p>
      <w:r>
        <w:rPr>
          <w:color w:val="555555"/>
          <w:sz w:val="18"/>
        </w:rPr>
        <w:t xml:space="preserve">Stand: 19.12.2023 (konsolidierte Textfassung, kein amtliches Inkrafttretensdatum)</w:t>
      </w:r>
    </w:p>
    <w:p>
      <w:r>
        <w:t xml:space="preserve">(1) Eine außerhalb des Geltungsbereichs dieses Gesetzes und außerhalb eines Mitgliedstaats der Europäischen Union oder eines anderen Vertragsstaates des Abkommens über den Europäischen Wirtschaftsraum oder der Schweiz erworbene abgeschlossene Ausbildung erfüllt die Voraussetzungen des § 2 Nummer 1, wenn die Gleichwertigkeit des Ausbildungsstandes gegeben ist.</w:t>
      </w:r>
    </w:p>
    <w:p>
      <w:r>
        <w:t xml:space="preserve">(2) Der Ausbildungsstand ist als gleichwertig anzusehen, wenn die Ausbildung der antragstellenden Person in dem Beruf, für den die Anerkennung beantragt wird, keine wesentlichen Unterschiede gegenüber der in diesem Gesetz und in der Ausbildungs- und Prüfungsverordnung für diesen Beruf geregelten Ausbildung aufweist. Wesentliche Unterschiede im Sinne des Satzes 1 liegen vor, wenn</w:t>
      </w:r>
    </w:p>
    <w:p>
      <w:pPr>
        <w:ind w:left="420"/>
      </w:pPr>
      <w:r>
        <w:t xml:space="preserve">1. die Ausbildung der antragstellenden Person hinsichtlich der beruflichen Tätigkeit Themenbereiche oder Bereiche der praktischen Ausbildung umfasst, die sich wesentlich von denen unterscheiden, die nach diesem Gesetz und der Ausbildungs- und Prüfungsverordnung für die Pflegeberufe vorgeschrieben sind, oder</w:t>
      </w:r>
    </w:p>
    <w:p>
      <w:pPr>
        <w:ind w:left="420"/>
      </w:pPr>
      <w:r>
        <w:t xml:space="preserve">2. der Beruf der Pflegefachfrau oder des Pflegefachmanns, der Beruf der Gesundheits-und Kinderkrankenpflegerin oder des Gesundheits- und Kinderkrankenpflegers oder der Beruf der Altenpflegerin oder des Altenpflegers eine oder mehrere reglementierte Tätigkeiten umfasst, die im Herkunftsstaat der antragstellenden Person nicht Bestandteil des Berufs sind, der dem der Pflegefachfrau oder des Pflegefachmanns, der Gesundheits- und Kinderkrankenpflegerin oder des Gesundheits- und Kinderkrankenpflegers oder der Altenpflegerin oder des Altenpflegers entspricht, und wenn sich die Ausbildung für die jeweiligen Tätigkeiten auf Themenbereiche oder Bereiche der praktischen Ausbildung nach diesem Gesetz und der Ausbildungs- und Prüfungsverordnung für die Pflegeberufe beziehen, die sich wesentlich von denen unterscheiden, die von der Ausbildung der antragstellenden Person abgedeckt sind, und</w:t>
      </w:r>
    </w:p>
    <w:p>
      <w:r>
        <w:t xml:space="preserve">die antragstellende Person diese Unterschiede nicht durch Kenntnisse und Fähigkeiten ausgleichen kann, die sie im Rahmen ihrer tatsächlichen und rechtmäßigen Ausübung des Berufs der Pflegefachfrau oder des Pflegefachmanns, der Gesundheits- und Kinderkrankenpflegerin oder des Gesundheits- und Kinderkrankenpflegers oder der Altenpflegerin oder des Altenpflegers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Themenbereiche oder Bereiche der praktischen Ausbildung unterscheiden sich wesentlich, wenn die nachgewiesene Ausbildung der antragstellenden Person wesentliche inhaltliche Abweichungen hinsichtlich der Kenntnisse und Fähigkeiten aufweist, die eine wesentliche Voraussetzung für die Ausübung des Berufs der Pflegefachfrau oder des Pflegefachmanns, der Gesundheits- und Kinderkrankenpflegerin oder des Gesundheits- und Kinderkrankenpflegers oder der Altenpflegerin oder des Altenpflegers in Deutschland sind; Satz 2 letzter Teilsatz gilt entsprechend.</w:t>
      </w:r>
    </w:p>
    <w:p>
      <w:r>
        <w:t xml:space="preserve">(3) Ist die Gleichwertigkeit des Ausbildungsstandes nach Absatz 2 nicht gegeben oder kann sie nur mit unangemessenem zeitlichen oder sachlichen Aufwand festgestellt werden, weil die erforderlichen Unterlagen und Nachweise aus Gründen, die nicht in der antragstellenden Person liegen, von dieser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antragstellende Person hat das Recht, zwischen der Kenntnisprüfung und dem Anpassungslehrgang zu wählen. Die zuständige Behörde soll bei der Prüfung der Gleichwertigkeit des Ausbildungsstandes vorhandene Informationen über die Berufsqualifikation der antragstellenden Person, insbesondere in Form von Mustergutachten der Gutachtenstelle für Gesundheitsberufe, berücksichtigen.</w:t>
      </w:r>
    </w:p>
    <w:p>
      <w:r>
        <w:t xml:space="preserve">(3a) Verzichtet die antragstellende Person endgültig auf die Prüfung der Gleichwertigkeit des Ausbildungsstandes durch die zuständige Stelle, ist ein gleichwertiger Kenntnisstand nachzuweisen. Absatz 3 Satz 2 und 3 gelten entsprechend. Die antragstellende Person ist über die Rechtsfolgen des Verzichts nach Satz 1 und die Wahlmöglichkeiten nach Absatz 3 Satz 3 aufzuklären.</w:t>
      </w:r>
    </w:p>
    <w:p>
      <w:r>
        <w:t xml:space="preserve">(4) Das Berufsqualifikationsfeststellungsgesetz findet mit Ausnahme des § 17 keine Anwendung.</w:t>
      </w:r>
    </w:p>
    <w:p>
      <w:r>
        <w:t xml:space="preserve">(5) Die Länder können vereinbaren, dass die Aufgaben nach den §§ 40 und 41 von einem anderen Land oder einer gemeinsamen Einrichtung wahrgenommen werden.</w:t>
      </w:r>
    </w:p>
    <w:p>
      <w:r>
        <w:rPr>
          <w:color w:val="555555"/>
          <w:sz w:val="17"/>
        </w:rPr>
        <w:t xml:space="preserve">Zitiervorschlag: § 40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