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PflBG — Rechnungslegung der zuständigen Stelle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Nach Ablauf des Finanzierungszeitraumes und nach der Abrechnung nach § 34 Absatz 5 und 6 erfolgt eine Rechnungslegung der zuständigen Stelle über die als Ausgleichsfonds und im Rahmen des Umlageverfahrens verwalteten Mittel.</w:t>
      </w:r>
    </w:p>
    <w:p>
      <w:r>
        <w:t xml:space="preserve">(2) Bei der Rechnungslegung ermittelte Überschüsse oder Defizite werden bei dem nach § 32 ermittelten Finanzierungsbedarf in dem auf die Rechnungslegung folgenden Erhebungs- und Abrechnungsjahr berücksichtigt.</w:t>
      </w:r>
    </w:p>
    <w:p>
      <w:r>
        <w:rPr>
          <w:color w:val="555555"/>
          <w:sz w:val="17"/>
        </w:rPr>
        <w:t xml:space="preserve">Zitiervorschlag: § 35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