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PflBG — Aufbringung des Finanzierungsbedarfs; Verordnungsermächtigung</w:t>
      </w:r>
    </w:p>
    <w:p>
      <w:r>
        <w:rPr>
          <w:color w:val="555555"/>
          <w:sz w:val="18"/>
        </w:rPr>
        <w:t xml:space="preserve">Pflegeberufegesetz</w:t>
      </w:r>
    </w:p>
    <w:p>
      <w:r>
        <w:rPr>
          <w:color w:val="555555"/>
          <w:sz w:val="18"/>
        </w:rPr>
        <w:t xml:space="preserve">Stand: 01.11.2025 (konsolidierte Textfassung, kein amtliches Inkrafttretensdatum)</w:t>
      </w:r>
    </w:p>
    <w:p>
      <w:r>
        <w:t xml:space="preserve">(1) Der nach § 32 ermittelte Finanzierungsbedarf wird durch die Erhebung von Umlagebeträgen und Zahlungen nach § 26 Absatz 3 nach folgenden Anteilen aufgebracht:</w:t>
      </w:r>
    </w:p>
    <w:p>
      <w:pPr>
        <w:ind w:left="420"/>
      </w:pPr>
      <w:r>
        <w:t xml:space="preserve">1. 57,2380 Prozent durch Einrichtungen nach § 7 Absatz 1 Nummer 1,</w:t>
      </w:r>
    </w:p>
    <w:p>
      <w:pPr>
        <w:ind w:left="420"/>
      </w:pPr>
      <w:r>
        <w:t xml:space="preserve">2. 30,2174 Prozent durch Einrichtungen nach § 7 Absatz 1 Nummer 2 und 3,</w:t>
      </w:r>
    </w:p>
    <w:p>
      <w:pPr>
        <w:ind w:left="420"/>
      </w:pPr>
      <w:r>
        <w:t xml:space="preserve">3. 8,9446 Prozent durch das Land und</w:t>
      </w:r>
    </w:p>
    <w:p>
      <w:pPr>
        <w:ind w:left="420"/>
      </w:pPr>
      <w:r>
        <w:t xml:space="preserve">4. 3,6 Prozent durch Direktzahlung der sozialen Pflegeversicherung, wobei die private Pflege-Pflichtversicherung der sozialen Pflegeversicherung 10 Prozent ihrer Direktzahlung erstattet.</w:t>
      </w:r>
    </w:p>
    <w:p>
      <w:r>
        <w:t xml:space="preserve">(2) Die Zahlungen nach Absatz 1 Nummer 1 und 2 werden als monatlicher Teilbetrag an die zuständige Stelle abgeführt. Soweit einer zur Zahlung eines Umlagebetrages verpflichteten Einrichtung infolge der praktischen Ausbildung eine Ausgleichszuweisung nach § 34 zusteht, kann die zuständige Stelle die Beträge miteinander verrechnen.</w:t>
      </w:r>
    </w:p>
    <w:p>
      <w:r>
        <w:t xml:space="preserve">(3) Der von den Trägern der Einrichtungen nach § 7 Absatz 1 Nummer 1 zu zahlende Anteil kann als Teilbetrag des Ausbildungszuschlags je voll- und teilstationärem Fall nach § 17a Absatz 5 Satz 1 Nummer 2 des Krankenhausfinanzierungsgesetzes oder als eigenständiger Ausbildungszuschlag je voll- und teilstationärem Fall aufgebracht werden. Vereinbart wird die Höhe des Zuschlags oder des Teilbetrages durch die Vertragsparteien nach § 18 Absatz 1 Satz 2 des Krankenhausfinanzierungsgesetzes. Die Vertragsparteien teilen der zuständigen Stelle gemeinsam die Höhe des vereinbarten Zuschlags oder des Teilbetrages mit, die diesen Zuschlag als Umlagebetrag gegenüber den Einrichtungen nach Absatz 1 Nummer 1 festsetzt.</w:t>
      </w:r>
    </w:p>
    <w:p>
      <w:r>
        <w:t xml:space="preserve">(4) Der von den Trägern der Einrichtungen nach § 7 Absatz 1 Nummer 2 und 3 zu zahlende Anteil nach Absatz 1 Nummer 2 wird über Ausbildungszuschläge aufgebracht. Die zuständige Stelle setzt gegenüber jeder Einrichtung den jeweils zu entrichtenden Umlagebetrag fest. Dafür wird der Anteil nach Absatz 1 Nummer 2 auf die Sektoren „voll- und teilstationär“ und „ambulant“ im Verhältnis der in diesen Sektoren beschäftigten Pflegefachkräfte aufgeschlüsselt. Einzelheiten zu dem Verfahren, einschließlich der Festlegung, welche Pflegefachkräfte in einem Sektor berücksichtigt werden, werden durch eine Umlageordnung nach § 56 Absatz 3 Nummer 3 festgelegt. Die Länder können ergänzende Regelungen erlassen.</w:t>
      </w:r>
    </w:p>
    <w:p>
      <w:r>
        <w:t xml:space="preserve">(5) Die Zahlung nach Absatz 1 Nummer 3 erfolgt je Finanzierungszeitraum als Einmalzahlung zwei Monate vor Fälligkeit der ersten Ausgleichszahlung. Die Zahlung nach Absatz 1 Nummer 4 erfolgt je Finanzierungszeitraum als Einmalzahlung einen Monat vor Fälligkeit der ersten Ausgleichszahlung. Die Direktzahlung der sozialen Pflegeversicherung sowie die Erstattung der privaten Pflege-Pflichtversicherung nach Absatz 1 Nummer 4 werden aus Mitteln des Ausgleichsfonds nach § 65 des Elften Buches Sozialgesetzbuch oder an den Ausgleichsfonds erbracht. § 45c Absatz 8 des Elften Buches Sozialgesetzbuch gilt entsprechend.</w:t>
      </w:r>
    </w:p>
    <w:p>
      <w:r>
        <w:t xml:space="preserve">(6) Die in § 30 Absatz 1 Satz 1 genannten Beteiligten auf Landesebene vereinbaren die erforderlichen Verfahrensregelungen im Zusammenhang mit der Einzahlung der Finanzierungsmittel und den in Rechnung zu stellenden Zuschlägen. Hierzu gehören insbesondere Vorgaben zur Verzinsung ausstehender Einzahlungen, die mit einem Zinssatz von 8 Prozent über dem Basiszinssatz nach § 247 Absatz 1 des Bürgerlichen Gesetzbuchs zu verzinsen sind, oder Einzelheiten zur Abweichung von dem Zeitpunkt der Einzahlung einschließlich der Möglichkeit von anteiligen Einzahlungen nach Absatz 1 Nummer 3, sofern die Liquidität des Ausgleichsfonds zum Zeitpunkt der Auszahlung der Ausgleichszuweisung im entsprechenden Finanzierungszeitraum weiterhin sichergestellt ist. Kommt eine Vereinbarung nicht zustande, entscheidet die Schiedsstelle nach § 36 auf Antrag eines Beteiligten.</w:t>
      </w:r>
    </w:p>
    <w:p>
      <w:r>
        <w:t xml:space="preserve">(7) Gegen den Festsetzungs- und Zahlungsbescheid der zuständigen Stelle nach den Absätzen 3 und 4 ist der Verwaltungsrechtsweg gegeben. Widerspruch und Klage haben keine aufschiebende Wirkung.</w:t>
      </w:r>
    </w:p>
    <w:p>
      <w:r>
        <w:t xml:space="preserve">(8) Die Bundesregierung prüft alle drei Jahre, erstmals 2023, die Notwendigkeit und Höhe einer Anpassung des Prozentsatzes der Direktzahlung der sozialen Pflegeversicherung nach Absatz 1 Nummer 4. Die Bundesregierung legt den gesetzgebenden Körperschaften des Bundes einen Bericht über das Ergebnis und die tragenden Gründe vor. Die Bundesregierung wird ermächtigt, durch Rechtsverordnung mit Zustimmung des Bundesrates</w:t>
      </w:r>
    </w:p>
    <w:p>
      <w:pPr>
        <w:ind w:left="420"/>
      </w:pPr>
      <w:r>
        <w:t xml:space="preserve">1. nach Vorlage des Berichts unter Berücksichtigung etwaiger Stellungnahmen der gesetzgebenden Körperschaften des Bundes den Prozentsatz nach Absatz 1 Nummer 4 zum 1. Januar des Folgejahres anzupassen und</w:t>
      </w:r>
    </w:p>
    <w:p>
      <w:pPr>
        <w:ind w:left="420"/>
      </w:pPr>
      <w:r>
        <w:t xml:space="preserve">2. bei Anpassung des Prozentsatzes nach Absatz 1 Nummer 4 auch den Prozentsatz nach Absatz 1 Nummer 2 anzupassen, so dass die Summe der Prozentsätze nach Absatz 1 Nummer 2 und 4 unverändert bleibt.</w:t>
      </w:r>
    </w:p>
    <w:p>
      <w:r>
        <w:t xml:space="preserve">Rechtsverordnungen nach Satz 3 sind dem Bundestag zuzuleiten. Die Zuleitung erfolgt vor der Zuleitung an den Bundesrat. Die Rechtsverordnungen können durch Beschluss des Bundestages geändert oder abgelehnt werden. Der Beschluss des Bundestages wird der Bundesregierung zugeleitet. Hat sich der Bundestag nach Ablauf von drei Sitzungswochen seit Eingang der Rechtsverordnung nicht mit ihr befasst, so wird die unveränderte Rechtsverordnung dem Bundesrat zugeleitet.</w:t>
      </w:r>
    </w:p>
    <w:p>
      <w:r>
        <w:rPr>
          <w:color w:val="555555"/>
          <w:sz w:val="17"/>
        </w:rPr>
        <w:t xml:space="preserve">Zitiervorschlag: § 33 PflBG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