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PflBG — Höhe des Finanzierungsbedarfs; Verwaltungskosten</w:t>
      </w:r>
    </w:p>
    <w:p>
      <w:r>
        <w:rPr>
          <w:color w:val="555555"/>
          <w:sz w:val="18"/>
        </w:rPr>
        <w:t xml:space="preserve">Pflegeberufegesetz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zuständige Stelle ermittelt für den jeweiligen Finanzierungszeitraum die Höhe des Finanzierungsbedarfs für die Pflegeausbildung im Land aus</w:t>
      </w:r>
    </w:p>
    <w:p>
      <w:pPr>
        <w:ind w:left="420"/>
      </w:pPr>
      <w:r>
        <w:t xml:space="preserve">1. der Summe aller Ausbildungsbudgets eines Landes nach den §§ 30 und 31,</w:t>
      </w:r>
    </w:p>
    <w:p>
      <w:pPr>
        <w:ind w:left="420"/>
      </w:pPr>
      <w:r>
        <w:t xml:space="preserve">2. einem Aufschlag auf diese Summen von 3 Prozent zur Bildung einer Liquiditätsreserve, die die erforderlichen Mittel abdeckt für in der Meldung des Ausbildungsbudgets nach § 30 Absatz 4 und nach § 31 Absatz 4 noch nicht berücksichtigte Ausbildungsverhältnisse sowie für Forderungsausfälle und Zahlungsverzüge.</w:t>
      </w:r>
    </w:p>
    <w:p>
      <w:r>
        <w:t xml:space="preserve">Schätzungen nach § 30 Absatz 5 und § 31 Absatz 5 stehen den bei der Ermittlung des Finanzierungsbedarfs festgesetzten oder vereinbarten Ausbildungsbudgets gleich.</w:t>
      </w:r>
    </w:p>
    <w:p>
      <w:r>
        <w:t xml:space="preserve">(2) Die zuständige Stelle erhebt als Ausgleich für anfallende Verwaltungs- und Vollstreckungskosten 0,6 Prozent der sich aus Absatz 1 Nummer 1 ergebenden Summe (Verwaltungskostenpauschale). Die Verwaltungskostenpauschale wird dem Betrag nach Absatz 1 als Aufschlag hinzugerechnet. Sie wird beim Finanzierungsbedarf und im Ausgleichsfonds gesondert ausgewiesen.</w:t>
      </w:r>
    </w:p>
    <w:p>
      <w:r>
        <w:rPr>
          <w:color w:val="555555"/>
          <w:sz w:val="17"/>
        </w:rPr>
        <w:t xml:space="preserve">Zitiervorschlag: § 32 PflBG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