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PflBG — Individualbudgets</w:t>
      </w:r>
    </w:p>
    <w:p>
      <w:r>
        <w:rPr>
          <w:color w:val="555555"/>
          <w:sz w:val="18"/>
        </w:rPr>
        <w:t xml:space="preserve">Pflegeberufegesetz</w:t>
      </w:r>
    </w:p>
    <w:p>
      <w:r>
        <w:rPr>
          <w:color w:val="555555"/>
          <w:sz w:val="18"/>
        </w:rPr>
        <w:t xml:space="preserve">Stand: 10.01.2020 (konsolidierte Textfassung, kein amtliches Inkrafttretensdatum)</w:t>
      </w:r>
    </w:p>
    <w:p>
      <w:r>
        <w:t xml:space="preserve">(1) Werden die Ausbildungsbudgets nach § 29 Absatz 5 Satz 2 und 3 individuell vereinbart, sind Parteien der Budgetverhandlung</w:t>
      </w:r>
    </w:p>
    <w:p>
      <w:pPr>
        <w:ind w:left="420"/>
      </w:pPr>
      <w:r>
        <w:t xml:space="preserve">1. der Träger der praktischen Ausbildung oder die Pflegeschule,</w:t>
      </w:r>
    </w:p>
    <w:p>
      <w:pPr>
        <w:ind w:left="420"/>
      </w:pPr>
      <w:r>
        <w:t xml:space="preserve">2. die zuständige Behörde des Landes und</w:t>
      </w:r>
    </w:p>
    <w:p>
      <w:pPr>
        <w:ind w:left="420"/>
      </w:pPr>
      <w:r>
        <w:t xml:space="preserve">3. die Kranken- und Pflegekassen oder deren Arbeitsgemeinschaften, soweit auf sie im Jahr vor Beginn der Budgetverhandlungen mehr als 5 Prozent der Belegungs- und Berechnungstage oder der betreuten Pflegebedürftigen bei ambulanten Pflegediensten bei einem der kooperierenden Träger der praktischen Ausbildung entfallen.</w:t>
      </w:r>
    </w:p>
    <w:p>
      <w:r>
        <w:t xml:space="preserve">Pflegeschulen und Träger der praktischen Ausbildung können vereinbaren, dass das Ausbildungsbudget des Trägers der praktischen Ausbildung die Ausbildungskosten der Pflegeschule mit umfasst und vom Träger der praktischen Ausbildung mit verhandelt werden.</w:t>
      </w:r>
    </w:p>
    <w:p>
      <w:r>
        <w:t xml:space="preserve">(2) Die Verhandlungen nach Absatz 1 sind zügig zu führen. Vor Beginn der Verhandlungen hat der Träger der praktischen Ausbildung den Beteiligten rechtzeitig Nachweise und Begründungen insbesondere über Anzahl der voraussichtlich belegten Ausbildungsplätze und die Ausbildungskosten vorzulegen sowie im Rahmen der Verhandlungen zusätzliche Auskünfte zu erteilen, soweit diese erforderlich sind und nicht außer Verhältnis stehen. Satz 2 gilt für die Pflegeschulen entsprechend.</w:t>
      </w:r>
    </w:p>
    <w:p>
      <w:r>
        <w:t xml:space="preserve">(3) Kommt eine Vereinbarung über ein Ausbildungsbudget für den Finanzierungszeitraum nicht innerhalb von zwei Monaten nach Vorlage von Verhandlungsunterlagen zustande, entscheidet auf Antrag einer Vertragspartei die Schiedsstelle nach § 36 innerhalb von sechs Wochen.</w:t>
      </w:r>
    </w:p>
    <w:p>
      <w:r>
        <w:t xml:space="preserve">(4) Die Parteien nach Absatz 1 teilen der zuständigen Stelle gemeinsam die Höhe der vereinbarten oder der von der Schiedsstelle nach Absatz 3 festgesetzten Ausbildungsbudgets und den jeweiligen Träger der praktischen Ausbildung mit. Dabei geben sie die Zahl der Ausbildungsplätze sowie die voraussichtlichen Mehrkosten der Ausbildungsvergütung unter Mitteilung der Höhe der voraussichtlich für jeden Auszubildenden anfallenden Ausbildungsvergütung an, die der Vereinbarung oder der Festsetzung zugrunde gelegt worden sind. Die zuständige Stelle weist unangemessene Ausbildungsvergütungen zurück.</w:t>
      </w:r>
    </w:p>
    <w:p>
      <w:r>
        <w:t xml:space="preserve">(5) Erfolgt eine Mitteilung nach Absatz 4 Satz 1 und 2 nicht oder nicht vollständig innerhalb von für die Mitteilung vorgegebenen Fristen oder wurden bestimmte Angaben in der Mitteilung nach Absatz 4 Satz 3 zurückgewiesen und werden die zurückgewiesenen Angaben nicht fristgerecht nachträglich mitgeteilt, nimmt die zuständige Stelle eine Schätzung vor.</w:t>
      </w:r>
    </w:p>
    <w:p>
      <w:r>
        <w:rPr>
          <w:color w:val="555555"/>
          <w:sz w:val="17"/>
        </w:rPr>
        <w:t xml:space="preserve">Zitiervorschlag: § 31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