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PflBG — Umlageverfahren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Finanzierung der Ausgleichsfonds durch Krankenhäuser und ambulante und stationäre Pflegeeinrichtungen erfolgt über landesweite Umlageverfahren nach Maßgabe des Absatzes 2 und der §§ 29 bis 35.</w:t>
      </w:r>
    </w:p>
    <w:p>
      <w:r>
        <w:t xml:space="preserve">(2) Die an den Umlageverfahren teilnehmenden Krankenhäuser können die auf sie entfallenden Umlagebeträge zusätzlich zu den Entgelten oder Vergütungen für ihre Leistungen als Ausbildungszuschläge erheben; für ambulante und stationäre Pflegeeinrichtungen sind die auf sie entfallenden Umlagebeträge in der Vergütung der allgemeinen Pflegeleistungen (§ 84 Absatz 1, § 89 des Elften Buches Sozialgesetzbuch) berücksichtigungsfähig.</w:t>
      </w:r>
    </w:p>
    <w:p>
      <w:r>
        <w:rPr>
          <w:color w:val="555555"/>
          <w:sz w:val="17"/>
        </w:rPr>
        <w:t xml:space="preserve">Zitiervorschlag: § 28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