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PflBG — Führen der Berufsbezeichnung</w:t>
      </w:r>
    </w:p>
    <w:p>
      <w:r>
        <w:rPr>
          <w:color w:val="555555"/>
          <w:sz w:val="18"/>
        </w:rPr>
        <w:t xml:space="preserve">Pflegeberufegesetz</w:t>
      </w:r>
    </w:p>
    <w:p>
      <w:r>
        <w:rPr>
          <w:color w:val="555555"/>
          <w:sz w:val="18"/>
        </w:rPr>
        <w:t xml:space="preserve">Stand: 19.12.2023 (konsolidierte Textfassung, kein amtliches Inkrafttretensdatum)</w:t>
      </w:r>
    </w:p>
    <w:p>
      <w:r>
        <w:t xml:space="preserve">Wer die Berufsbezeichnung „Pflegefachfrau“ oder „Pflegefachmann“ führen will, bedarf der Erlaubnis. Personen mit einer Ausbildung nach Teil 3 führen die Berufsbezeichnung „Pflegefachfrau“ oder „Pflegefachmann“ mit dem akademischen Grad.</w:t>
      </w:r>
    </w:p>
    <w:p>
      <w:r>
        <w:rPr>
          <w:color w:val="555555"/>
          <w:sz w:val="17"/>
        </w:rPr>
        <w:t xml:space="preserve">Zitiervorschlag: § 1 PflBG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