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PflBBetV — Entzug der Anerkennung</w:t>
      </w:r>
    </w:p>
    <w:p>
      <w:r>
        <w:rPr>
          <w:color w:val="555555"/>
          <w:sz w:val="18"/>
        </w:rPr>
        <w:t xml:space="preserve">Pflegeberufebeteiligungsverordnung</w:t>
      </w:r>
    </w:p>
    <w:p>
      <w:r>
        <w:rPr>
          <w:color w:val="555555"/>
          <w:sz w:val="18"/>
        </w:rPr>
        <w:t xml:space="preserve">Stand: 14.03.2026 (konsolidierte Textfassung, kein amtliches Inkrafttretensdatum)</w:t>
      </w:r>
    </w:p>
    <w:p>
      <w:r>
        <w:t xml:space="preserve">Hat der Spitzenverband Bund der Pflegekassen oder ein anderer Vereinbarungspartner nach § 113 des Elften Buches Sozialgesetzbuch Zweifel, dass die in § 2 genannte Organisation oder eine der nach § 3 anerkannten Organisationen die Voraussetzungen nach § 1 erfüllen, bittet er das Bundesministerium für Gesundheit, die betreffende Organisation zu überprüfen. Ergibt die Überprüfung, dass eine nach § 3 anerkannte Organisation die Voraussetzungen nach § 1 nicht erfüllt, stellt das Bundesministerium für Gesundheit im Einvernehmen mit dem Bundesministerium für Bildung, Familie, Senioren, Frauen und Jugend durch Verwaltungsakt fest, dass die betreffende Organisation keine maßgebliche Organisation der Pflegeberufe auf Bundesebene ist. Die Möglichkeit zur Entziehung der Anerkennung nach den allgemeinen Vorschriften des Verwaltungsrechts bleibt unberührt. Handelt es sich um die in § 2 genannte Organisation, trifft das Bundesministerium für Gesundheit die Entscheidung im Einvernehmen mit dem Bundesministerium für Bildung, Familie, Senioren, Frauen und Jugend in dieser Verordnung.</w:t>
      </w:r>
    </w:p>
    <w:p>
      <w:r>
        <w:rPr>
          <w:color w:val="555555"/>
          <w:sz w:val="17"/>
        </w:rPr>
        <w:t xml:space="preserve">Zitiervorschlag: § 4 PflBBetV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https://recht.nulegal.eu/gesetze/PflBBetV/4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