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PflAbfV (Bayern) — Ordnungswidrigkeiten</w:t>
      </w:r>
    </w:p>
    <w:p>
      <w:r>
        <w:rPr>
          <w:color w:val="555555"/>
          <w:sz w:val="18"/>
        </w:rPr>
        <w:t xml:space="preserve">Bayerische Pflanzenabfall-Verordnung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Nach § 69 Abs. 1 Nr. 8 des Kreislaufwirtschaftsgesetzes kann mit Geldbuße bis hunderttausend Euro belegt werden, wer vorsätzlich oder fahrlässig</w:t>
      </w:r>
    </w:p>
    <w:p>
      <w:r>
        <w:t xml:space="preserve">1. pflanzliche Abfälle entgegen § 2 Abs. 1, § 3 oder § 4 Satz 1 Nr. 1 so zur Verrottung bringt, daß für die Bewohner angrenzender Wohngrundstücke eine erhebliche Geruchsbelästigung eintritt,</w:t>
      </w:r>
    </w:p>
    <w:p>
      <w:r>
        <w:t xml:space="preserve">2. strohige Abfälle aus der Landwirtschaft oder dem Erwerbsgartenbau ohne die nach § 2 Abs. 2 Satz 3 oder § 3 erforderliche Anzeige oder entgegen einer vollziehbaren Untersagung nach § 2 Abs. 2 Satz 4 oder § 3 verbrennt,</w:t>
      </w:r>
    </w:p>
    <w:p>
      <w:r>
        <w:t xml:space="preserve">3. pflanzliche Abfälle aus der Landwirtschaft oder dem Erwerbsgartenbau entgegen den Vorschriften des § 2 Abs. 4 oder des § 3 über Ort, Zeit oder Art und Weise der Beseitigung verbrennt,</w:t>
      </w:r>
    </w:p>
    <w:p>
      <w:r>
        <w:t xml:space="preserve">4. pflanzliche Abfälle aus anderen als den in § 3 genannten Gärten, aus Parkanlagen, aus der Forst- oder der Almwirtschaft oder aus dem Ausbau oder der Unterhaltung von Verkehrswegen, Wasserkraftanlagen oder Gewässern entgegen den Vorschriften des § 4 Satz 1 Nr. 2 oder Satz 3 über Ort, Zeit oder Art und Weise der Beseitigung verbrennt.</w:t>
      </w:r>
    </w:p>
    <w:p>
      <w:r>
        <w:rPr>
          <w:color w:val="555555"/>
          <w:sz w:val="17"/>
        </w:rPr>
        <w:t xml:space="preserve">Zitiervorschlag: § 5 PflAbfV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https://recht.nulegal.eu/gesetze/PflAbfV/5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