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PflAbfV (Bayern) — Abfälle aus der Forst- und der Almwirtschaft und aus sonstigen Bereichen</w:t>
      </w:r>
    </w:p>
    <w:p>
      <w:r>
        <w:rPr>
          <w:color w:val="555555"/>
          <w:sz w:val="18"/>
        </w:rPr>
        <w:t xml:space="preserve">Bayerische Pflanzenabfall-Verordnung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Pflanzliche Abfälle, die in anderen als den in § 3 genannten Gärten, in Parkanlagen, beim Forst- und beim Almbetrieb sowie beim Ausbau und bei der Unterhaltung von Verkehrswegen, Wasserkraftanlagen und Gewässern anfallen, dürfen dort, wo sie angefallen sind,</w:t>
      </w:r>
    </w:p>
    <w:p>
      <w:r>
        <w:t xml:space="preserve">1. zur Verrottung gebracht werden, sofern eine erhebliche Geruchsbelästigung der Bewohner angrenzender Wohngrundstücke ausgeschlossen ist, oder</w:t>
      </w:r>
    </w:p>
    <w:p>
      <w:r>
        <w:t xml:space="preserve">2. unter Beachtung des § 2 Abs. 4 verbrannt werden.</w:t>
      </w:r>
    </w:p>
    <w:p>
      <w:r>
        <w:t xml:space="preserve">Satz 1 gilt entsprechend für angeschwemmtes Holz aus Wildbächen und Muren. Die Verbrennung ist bei Abfällen aus dem Forst- und dem Almbetrieb nur zulässig, soweit forst- oder almwirtschaftliche Gründe dies erfordern und ein ausreichend breiter Schutzstreifen um die Feuerstelle vorhanden ist.</w:t>
      </w:r>
    </w:p>
    <w:p>
      <w:r>
        <w:rPr>
          <w:color w:val="555555"/>
          <w:sz w:val="17"/>
        </w:rPr>
        <w:t xml:space="preserve">Zitiervorschlag: § 4 PflAbfV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https://recht.nulegal.eu/gesetze/PflAbfV/4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