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PflAbfV (Bayern) — Abfälle aus dem Erwerbsgartenbau</w:t>
      </w:r>
    </w:p>
    <w:p>
      <w:r>
        <w:rPr>
          <w:color w:val="555555"/>
          <w:sz w:val="18"/>
        </w:rPr>
        <w:t xml:space="preserve">Bayerische Pflanzenabfall-Verordnung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pflanzliche Abfälle aus Betrieben des Erwerbsgartenbaus ist § 2 entsprechend anzuwenden.</w:t>
      </w:r>
    </w:p>
    <w:p>
      <w:r>
        <w:rPr>
          <w:color w:val="555555"/>
          <w:sz w:val="17"/>
        </w:rPr>
        <w:t xml:space="preserve">Zitiervorschlag: § 3 PflAbfV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https://recht.nulegal.eu/gesetze/PflAbfV/3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