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PflAPrV — Inkrafttreten, Außerkrafttreten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§§ 50 bis 60 treten am Tag nach der Verkündung in Kraft. Im Übrigen tritt diese Verordnung am 1. Januar 2020 in Kraft.</w:t>
      </w:r>
    </w:p>
    <w:p>
      <w:r>
        <w:t xml:space="preserve">(2) Die Altenpflege-Ausbildungs- und Prüfungsverordnung vom 26. November 2002 (BGBl. I S. 4418, 4429), die zuletzt durch Artikel 35 des Gesetzes vom 18. April 2016 (BGBl. I S. 886) geändert worden ist, und die Ausbildungs- und Prüfungsverordnung für die Berufe in der Krankenpflege vom 10. November 2003 (BGBl. I S. 2263), die zuletzt durch Artikel 33 des Gesetzes vom 18. April 2016 (BGBl. I S. 886) geändert worden ist, treten am 31. Dezember 2019 außer Kraft.</w:t>
      </w:r>
    </w:p>
    <w:p>
      <w:r>
        <w:rPr>
          <w:color w:val="555555"/>
          <w:sz w:val="17"/>
        </w:rPr>
        <w:t xml:space="preserve">Zitiervorschlag: § 62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