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PflAPrV — Reisen und Aufwandsentschädigung</w:t>
      </w:r>
    </w:p>
    <w:p>
      <w:r>
        <w:rPr>
          <w:color w:val="555555"/>
          <w:sz w:val="18"/>
        </w:rPr>
        <w:t xml:space="preserve">Pflegeberufe-Ausbildungs- und -Prüfungsverordnung</w:t>
      </w:r>
    </w:p>
    <w:p>
      <w:r>
        <w:rPr>
          <w:color w:val="555555"/>
          <w:sz w:val="18"/>
        </w:rPr>
        <w:t xml:space="preserve">Stand: 13.06.2020 (konsolidierte Textfassung, kein amtliches Inkrafttretensdatum)</w:t>
      </w:r>
    </w:p>
    <w:p>
      <w:r>
        <w:t xml:space="preserve">Die Erstattung von Reisekosten für Mitglieder richtet sich nach den Richtlinien für die Abfindung der Mitglieder von Beiräten, Ausschüssen, Kommissionen und ähnlichen Einrichtungen im Bereich des Bundes (GMBl 2002 S. 92) in der jeweils geltenden Fassung. Für die Wahrnehmung der Aufgaben der Fachkommission kann eine angemessene Aufwandsentschädigung gezahlt werden. Die Höhe der Aufwandsentschädigung und die Verfahrensregelungen im Zusammenhang mit ihrer Auszahlung werden in der Geschäftsordnung der Fachkommission festgelegt.</w:t>
      </w:r>
    </w:p>
    <w:p>
      <w:r>
        <w:rPr>
          <w:color w:val="555555"/>
          <w:sz w:val="17"/>
        </w:rPr>
        <w:t xml:space="preserve">Zitiervorschlag: § 59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