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PflAPrV — Vorsitz, Vertretung</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(1) Die Mitglieder der Fachkommission wählen aus ihrer Mitte ein Mitglied, das den Vorsitz übernimmt, und ein Mitglied, das die Vertretung des Vorsitzes übernimmt. § 92 Absatz 1 und 2 des Verwaltungsverfahrensgesetzes gilt entsprechend.</w:t>
      </w:r>
    </w:p>
    <w:p>
      <w:r>
        <w:t xml:space="preserve">(2) Der Vorsitz endet spätestens mit der Mitgliedschaft des Mitglieds, das das Amt innehat. Gleiches gilt für die Vertretung des Vorsitzes. Der Rücktritt von dem Vorsitz oder von der Vertretung des Vorsitzes ist zulässig. In diesem Fall ist Absatz 1 anzuwenden.</w:t>
      </w:r>
    </w:p>
    <w:p>
      <w:r>
        <w:rPr>
          <w:color w:val="555555"/>
          <w:sz w:val="17"/>
        </w:rPr>
        <w:t xml:space="preserve">Zitiervorschlag: § 54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