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PflAPrV — Mündlicher Teil der 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Der mündliche Teil der Prüfung erstreckt sich auf die folgenden Kompetenzbereiche der Anlage 2:</w:t>
      </w:r>
    </w:p>
    <w:p>
      <w:pPr>
        <w:ind w:left="420"/>
      </w:pPr>
      <w:r>
        <w:t xml:space="preserve">1. intra- und interprofessionelles Handeln in unterschiedlichen systemischen Kontexten verantwortlich gestalten und mitgestalten (Kompetenzbereich III),</w:t>
      </w:r>
    </w:p>
    <w:p>
      <w:pPr>
        <w:ind w:left="420"/>
      </w:pPr>
      <w:r>
        <w:t xml:space="preserve">2. das eigene Handeln auf der Grundlage von Gesetzen, Verordnungen und ethischen Leitlinien reflektieren und begründen (Kompetenzbereich IV),</w:t>
      </w:r>
    </w:p>
    <w:p>
      <w:pPr>
        <w:ind w:left="420"/>
      </w:pPr>
      <w:r>
        <w:t xml:space="preserve">3. das eigene Handeln auf der Grundlage von wissenschaftlichen Erkenntnissen und berufsethischen Werthaltungen und Einstellungen reflektieren und begründen (Kompetenzbereich V).</w:t>
      </w:r>
    </w:p>
    <w:p>
      <w:r>
        <w:t xml:space="preserve">Den Schwerpunkt des mündlichen Teils der Prüfung bilden die Auseinandersetzung mit der eigenen Berufsrolle und dem beruflichen Selbstverständnis und teambezogene, einrichtungsbezogene sowie gesellschaftliche Kontextbedingungen und ihr Einfluss auf das pflegerische Handeln.</w:t>
      </w:r>
    </w:p>
    <w:p>
      <w:r>
        <w:t xml:space="preserve">(2) Die drei Kompetenzbereiche der mündlichen Prüfung werden anhand einer komplexen Aufgabenstellung geprüft. Die Prüfungsaufgabe besteht in der Bearbeitung einer Fallsituation aus einem anderen Versorgungskontext als dem der praktischen Prüfung und bezieht sich auch auf eine andere Altersstufe, der die zu pflegenden Menschen angehören.</w:t>
      </w:r>
    </w:p>
    <w:p>
      <w:r>
        <w:t xml:space="preserve">(3) Die zu prüfenden Personen werden einzeln oder zu zweit geprüft. Die Prüfung soll für jede zu prüfende Person mindestens 30 und nicht länger als 45 Minuten dauern. Eine angemessene Vorbereitungszeit unter Aufsicht ist zu gewähren.</w:t>
      </w:r>
    </w:p>
    <w:p>
      <w:r>
        <w:t xml:space="preserve">(4) Die Prüfung wird von zwei Fachprüferinnen oder Fachprüfern gemäß § 10 Absatz 1 Satz 2 Nummer 3 abgenommen und benotet.</w:t>
      </w:r>
    </w:p>
    <w:p>
      <w:r>
        <w:t xml:space="preserve">(5) Aus den Noten der Fachprüferinnen und Fachprüfer für die in der Prüfung erbrachte Leistung bildet die oder der Vorsitzende des Prüfungsausschusses die Prüfungsnote für den mündlichen Teil der Prüfung als das arithmetische Mittel. Die Berechnung der Prüfungsnote erfolgt auf zwei Stellen nach dem Komma ohne Rundung.</w:t>
      </w:r>
    </w:p>
    <w:p>
      <w:r>
        <w:t xml:space="preserve">(6) Der mündliche Teil der Prüfung ist bestanden, wenn die Prüfung mindestens mit „ausreichend“ benotet wird.</w:t>
      </w:r>
    </w:p>
    <w:p>
      <w:r>
        <w:t xml:space="preserve">(7) Die Gesamtnote für den mündlichen Teil der Prüfung bildet die oder der Vorsitzende des Prüfungsausschusses aus der Prüfungsnote und der Vornote für den mündlichen Teil der Prüfung nach § 13 Absatz 1 und 2. Die Berechnung der Gesamtnote erfolgt auf zwei Stellen nach dem Komma ohne Rundung. Dem berechneten Zahlenwert ist die entsprechende Note nach § 17 zuzuordnen.</w:t>
      </w:r>
    </w:p>
    <w:p>
      <w:r>
        <w:t xml:space="preserve">(8) Die oder der Vorsitzende des Prüfungsausschusses kann mit Zustimmung der zu prüfenden Person die Anwesenheit von Zuhörerinnen und Zuhörern beim mündlichen Teil der Prüfung gestatten, wenn ein berechtigtes Interesse besteht.</w:t>
      </w:r>
    </w:p>
    <w:p>
      <w:r>
        <w:rPr>
          <w:color w:val="555555"/>
          <w:sz w:val="17"/>
        </w:rPr>
        <w:t xml:space="preserve">Zitiervorschlag: § 15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