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PflAPrV — Schriftlicher Teil der Prüfung</w:t>
      </w:r>
    </w:p>
    <w:p>
      <w:r>
        <w:rPr>
          <w:color w:val="555555"/>
          <w:sz w:val="18"/>
        </w:rPr>
        <w:t xml:space="preserve">Pflegeberufe-Ausbildungs- und -Prüfungsverordnung</w:t>
      </w:r>
    </w:p>
    <w:p>
      <w:r>
        <w:rPr>
          <w:color w:val="555555"/>
          <w:sz w:val="18"/>
        </w:rPr>
        <w:t xml:space="preserve">Stand: 19.12.2023 (konsolidierte Textfassung, kein amtliches Inkrafttretensdatum)</w:t>
      </w:r>
    </w:p>
    <w:p>
      <w:r>
        <w:t xml:space="preserve">(1) Der schriftliche Teil der Prüfung erstreckt sich auf folgende Prüfungsbereiche aus den Kompetenzbereichen I bis V der Anlage 2:</w:t>
      </w:r>
    </w:p>
    <w:p>
      <w:pPr>
        <w:ind w:left="420"/>
      </w:pPr>
      <w:r>
        <w:t xml:space="preserve">1. Pflegeprozessgestaltung einschließlich Interaktion und Beziehungsgestaltung in akuten und dauerhaften Pflegesituationen (Kompetenzschwerpunkte I.1, II.1) unter Einbeziehung von lebensweltlichen Aspekten und pflegerischen Aufgaben im Zusammenhang mit der Lebensgestaltung sowie unter Berücksichtigung von Autonomieerhalt und Entwicklungsförderung der zu pflegenden Menschen (Kompetenzschwerpunkte I.5, I.6), wobei darüber hinaus ausgewählte Kontextbedingungen des Kompetenzbereiches IV in die Fallbearbeitung einbezogen werden sollen,</w:t>
      </w:r>
    </w:p>
    <w:p>
      <w:pPr>
        <w:ind w:left="420"/>
      </w:pPr>
      <w:r>
        <w:t xml:space="preserve">2. Pflegeprozessgestaltung bei Menschen mit gesundheitlichen Problemlagen unter besonderer Berücksichtigung von Gesundheitsförderung und Prävention in Verbindung mit verschiedenen Schwerpunkten und Gesichtspunkten von Beratung (Kompetenzschwerpunkte I.2, II.2), wobei im Rahmen der Fallbearbeitung erforderliche Handlungsentscheidungen anhand von pflegewissenschaftlichem Begründungswissen begründet werden sollen (Kompetenzschwerpunkt V.1),</w:t>
      </w:r>
    </w:p>
    <w:p>
      <w:pPr>
        <w:ind w:left="420"/>
      </w:pPr>
      <w:r>
        <w:t xml:space="preserve">3. Pflegeprozesssteuerung in kritischen und krisenhaften Pflegesituationen (Kompetenzschwerpunkte I.3, I.4) in Verbindung mit der eigenständigen Durchführung ärztlicher Anordnungen (Kompetenzschwerpunkt III.2) und ethischen Entscheidungsprozessen (Kompetenzschwerpunkt II.3).</w:t>
      </w:r>
    </w:p>
    <w:p>
      <w:r>
        <w:t xml:space="preserve">(2) Die zu prüfende Person hat zu jedem dieser drei Prüfungsbereiche in jeweils einer entsprechenden Aufsichtsarbeit schriftlich gestellte fallbezogene Aufgaben zu bearbeiten. Die Fallsituationen für die drei Aufsichtsarbeiten sollen insgesamt variiert werden in Bezug auf</w:t>
      </w:r>
    </w:p>
    <w:p>
      <w:pPr>
        <w:ind w:left="420"/>
      </w:pPr>
      <w:r>
        <w:t xml:space="preserve">1. die Altersstufe, der die zu pflegenden Menschen angehören,</w:t>
      </w:r>
    </w:p>
    <w:p>
      <w:pPr>
        <w:ind w:left="420"/>
      </w:pPr>
      <w:r>
        <w:t xml:space="preserve">2. das soziale und kulturelle Umfeld der oder des zu pflegenden Menschen,</w:t>
      </w:r>
    </w:p>
    <w:p>
      <w:pPr>
        <w:ind w:left="420"/>
      </w:pPr>
      <w:r>
        <w:t xml:space="preserve">3. die Versorgungsbereiche, in denen die Fallsituationen verortet sind.</w:t>
      </w:r>
    </w:p>
    <w:p>
      <w:r>
        <w:t xml:space="preserve">(3) Die Aufsichtsarbeiten dauern jeweils 120 Minuten. Sie sind in der Regel an drei aufeinanderfolgenden Werktagen durchzuführen. Die Aufsichtsführenden werden von der Schulleitung bestellt.</w:t>
      </w:r>
    </w:p>
    <w:p>
      <w:r>
        <w:t xml:space="preserve">(4) Die Aufgaben für die Aufsichtsarbeiten werden von der zuständigen Behörde auf Vorschlag der Pflegeschule ausgewählt. Die zuständige Behörde kann zentrale Prüfungsaufgaben vorgeben, die unter Beteiligung von Pflegeschulen erarbeitet werden. In diesem Fall ist von der zuständigen Behörde ein landeseinheitlicher Prüfungstermin festzulegen.</w:t>
      </w:r>
    </w:p>
    <w:p>
      <w:r>
        <w:t xml:space="preserve">(5) Jede Aufsichtsarbeit ist von zwei Fachprüferinnen oder Fachprüfern gemäß § 10 Absatz 1 Satz 2 Nummer 3 zu benoten. Aus den Noten der Fachprüferinnen und Fachprüfer für jede Aufsichtsarbeit bildet die oder der Vorsitzende des Prüfungsausschusses die Note für die einzelne Aufsichtsarbeit als das arithmetische Mittel. Aus den Noten der drei Aufsichtsarbeiten bildet die oder der Vorsitzende des Prüfungsausschusses die Prüfungsnote für den schriftlichen Teil der Prüfung als das arithmetische Mittel. Die Berechnung der Noten nach den Sätzen 2 und 3 erfolgt auf zwei Stellen nach dem Komma ohne Rundung.</w:t>
      </w:r>
    </w:p>
    <w:p>
      <w:r>
        <w:t xml:space="preserve">(6) Der schriftliche Teil der Prüfung ist bestanden, wenn jede der drei Aufsichtsarbeiten mindestens mit „ausreichend“ benotet wird.</w:t>
      </w:r>
    </w:p>
    <w:p>
      <w:r>
        <w:t xml:space="preserve">(7) Die Gesamtnote für den schriftlichen Teil der Prüfung bildet die oder der Vorsitzende des Prüfungsausschusses aus der Prüfungsnote und der Vornote für den schriftlichen Teil der Prüfung nach § 13 Absatz 1 und 2. Die Berechnung der Gesamtnote erfolgt auf zwei Stellen nach dem Komma ohne Rundung. Dem berechneten Zahlenwert ist die entsprechende Note nach § 17 zuzuordnen.</w:t>
      </w:r>
    </w:p>
    <w:p>
      <w:r>
        <w:rPr>
          <w:color w:val="555555"/>
          <w:sz w:val="17"/>
        </w:rPr>
        <w:t xml:space="preserve">Zitiervorschlag: § 14 PflAPrV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https://recht.nulegal.eu/gesetze/PflAPrV/14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