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PflAFinV — Ermittlung des Finanzierungsbedarfs</w:t>
      </w:r>
    </w:p>
    <w:p>
      <w:r>
        <w:rPr>
          <w:color w:val="555555"/>
          <w:sz w:val="18"/>
        </w:rPr>
        <w:t xml:space="preserve">Pflegeberufe-Ausbildungsfinanzierungsverordnung</w:t>
      </w:r>
    </w:p>
    <w:p>
      <w:r>
        <w:rPr>
          <w:color w:val="555555"/>
          <w:sz w:val="18"/>
        </w:rPr>
        <w:t xml:space="preserve">Stand: 01.11.2025 (konsolidierte Textfassung, kein amtliches Inkrafttretensdatum)</w:t>
      </w:r>
    </w:p>
    <w:p>
      <w:r>
        <w:t xml:space="preserve">(1) Im Festsetzungsjahr 2019 setzt die zuständige Stelle zur Bildung einer Liquiditätsreserve einen Aufschlag von 3 Prozent auf die Summe aller Ausbildungsbudgets fest. Ab dem Festsetzungsjahr 2020 berechnet die zuständige Stelle den Aufschlag so, dass im Ausgleichsfonds erneut 3 Prozent der Summe aller Ausbildungsbudgets als Liquiditätsreserve zur Verfügung stehen.</w:t>
      </w:r>
    </w:p>
    <w:p>
      <w:r>
        <w:t xml:space="preserve">(1a) Die zuständige Stelle berechnet die Verwaltungs- und Vollstreckungskosten nach § 32 Absatz 2 des Pflegeberufegesetzes, auch in Verbindung mit § 24 des Pflegefachassistenzgesetzes, so, dass im Ausgleichsfonds für den Finanzierungszeitraum erneut 0,6 Prozent der Summe aller Ausbildungsbudgets als Verwaltungskostenpauschale zur Verfügung stehen. Ergeben sich aus der Rechnungslegung der zuständigen Stelle nach § 20 über einen Zeitraum von drei Finanzierungszeiträumen Mehr- oder Minderausgaben bei der Verwaltungskostenpauschale, die über oder unter 0,6 Prozent der Summe aller Ausbildungsbudgets liegen, so kann dies im nächstmöglichen Finanzierungszeitraum berücksichtigt werden, jedoch nicht mehr als 0,1 Prozentpunkte bei den Mehrausgaben und nicht weniger als 0,2 Prozentpunkte bei den Minderausgaben.</w:t>
      </w:r>
    </w:p>
    <w:p>
      <w:r>
        <w:t xml:space="preserve">(2) Ab dem Festsetzungsjahr 2021 berücksichtigt die zuständige Stelle die Summe der Differenzbeträge, die von den Krankenhäusern und Pflegeeinrichtungen nach § 17 Absatz 1 mitgeteilt werden, bei der Festsetzung des Finanzierungsbedarfs getrennt für den Bereich der Krankenhäuser und den Bereich der Pflegeeinrichtungen.</w:t>
      </w:r>
    </w:p>
    <w:p>
      <w:r>
        <w:t xml:space="preserve">(3) Die zuständige Stelle setzt die Höhe des gesamten Finanzierungsbedarfs und die Finanzierungsanteile der Krankenhäuser und der Pflegeeinrichtungen gesondert bis spätestens zum 31. Oktober des Festsetzungsjahres fest und veröffentlicht diese.</w:t>
      </w:r>
    </w:p>
    <w:p>
      <w:r>
        <w:rPr>
          <w:color w:val="555555"/>
          <w:sz w:val="17"/>
        </w:rPr>
        <w:t xml:space="preserve">Zitiervorschlag: § 9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