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PflAFinV — Auskunftspflicht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besteht Auskunftspflicht. Die Auskunftserteilung zu den Angaben nach § 23 Nummer 3 ist freiwillig.</w:t>
      </w:r>
    </w:p>
    <w:p>
      <w:r>
        <w:t xml:space="preserve">(2) Auskunftspflichtig sind die zuständigen Stellen der Länder.</w:t>
      </w:r>
    </w:p>
    <w:p>
      <w:r>
        <w:rPr>
          <w:color w:val="555555"/>
          <w:sz w:val="17"/>
        </w:rPr>
        <w:t xml:space="preserve">Zitiervorschlag: § 25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