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PflAFinV — Art und Zweck, Umfang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Zur Darstellung und Bewertung der Pflegeausbildung sowie zur Beurteilung gesetzlicher Maßnahmen werden Erhebungen als Bundesstatistik durchgeführt.</w:t>
      </w:r>
    </w:p>
    <w:p>
      <w:r>
        <w:t xml:space="preserve">(2) Die Erhebungen erfassen</w:t>
      </w:r>
    </w:p>
    <w:p>
      <w:pPr>
        <w:ind w:left="420"/>
      </w:pPr>
      <w:r>
        <w:t xml:space="preserve">1. die Träger der praktischen Ausbildung und die Pflegeschulen,</w:t>
      </w:r>
    </w:p>
    <w:p>
      <w:pPr>
        <w:ind w:left="420"/>
      </w:pPr>
      <w:r>
        <w:t xml:space="preserve">2. die in der Pflegeausbildung befindlichen Personen und</w:t>
      </w:r>
    </w:p>
    <w:p>
      <w:pPr>
        <w:ind w:left="420"/>
      </w:pPr>
      <w:r>
        <w:t xml:space="preserve">3. die Ausbildungsvergütungen.</w:t>
      </w:r>
    </w:p>
    <w:p>
      <w:r>
        <w:rPr>
          <w:color w:val="555555"/>
          <w:sz w:val="17"/>
        </w:rPr>
        <w:t xml:space="preserve">Zitiervorschlag: § 21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