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20 PflAFinV — Rechnungslegung</w:t>
      </w:r>
    </w:p>
    <w:p>
      <w:r>
        <w:rPr>
          <w:color w:val="555555"/>
          <w:sz w:val="18"/>
        </w:rPr>
        <w:t xml:space="preserve">Pflegeberufe-Ausbildungsfinanzierungsverordnung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zuständige Stelle stellt für das Sondervermögen für den Schluss eines jeden Finanzierungszeitraums je nach Rechtsform eine Jahresrechnung (Haushalts- und Vermögensrechnung) nach den Vorgaben der anzuwendenden Landeshaushaltsordnung oder einen Jahresabschluss nach den Vorgaben des Handelsgesetzbuchs auf.</w:t>
      </w:r>
    </w:p>
    <w:p>
      <w:r>
        <w:t xml:space="preserve">(2) Die Jahresrechnung oder der Jahresabschluss sind bis zum 31. Oktober des auf den Finanzierungszeitraum folgenden Kalenderjahres aufzustellen.</w:t>
      </w:r>
    </w:p>
    <w:p>
      <w:r>
        <w:rPr>
          <w:color w:val="555555"/>
          <w:sz w:val="17"/>
        </w:rPr>
        <w:t xml:space="preserve">Zitiervorschlag: § 20 PflAFinV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https://recht.nulegal.eu/gesetze/PflAFinV/20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